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January 5, 2001</w:t>
      </w:r>
    </w:p>
    <w:p>
      <w:pPr>
        <w:pStyle w:val="Heading1"/>
        <w:ind w:hanging="0" w:start="0"/>
        <w:rPr/>
      </w:pPr>
      <w:r>
        <w:rPr/>
      </w:r>
    </w:p>
    <w:p>
      <w:pPr>
        <w:pStyle w:val="Heading1"/>
        <w:ind w:hanging="0" w:start="0"/>
        <w:rPr/>
      </w:pPr>
      <w:r>
        <w:rPr/>
      </w:r>
    </w:p>
    <w:p>
      <w:pPr>
        <w:pStyle w:val="Heading1"/>
        <w:ind w:hanging="0" w:start="0"/>
        <w:rPr/>
      </w:pPr>
      <w:r>
        <w:rPr/>
        <w:t>Honorable Mike Oxley</w:t>
      </w:r>
    </w:p>
    <w:p>
      <w:pPr>
        <w:pStyle w:val="Normal"/>
        <w:rPr>
          <w:sz w:val="24"/>
        </w:rPr>
      </w:pPr>
      <w:r>
        <w:rPr>
          <w:sz w:val="24"/>
        </w:rPr>
        <w:t>Chairman</w:t>
      </w:r>
    </w:p>
    <w:p>
      <w:pPr>
        <w:pStyle w:val="Normal"/>
        <w:rPr>
          <w:sz w:val="24"/>
        </w:rPr>
      </w:pPr>
      <w:r>
        <w:rPr>
          <w:sz w:val="24"/>
        </w:rPr>
        <w:t>Committee on Financial Services</w:t>
      </w:r>
    </w:p>
    <w:p>
      <w:pPr>
        <w:pStyle w:val="Normal"/>
        <w:rPr>
          <w:sz w:val="24"/>
        </w:rPr>
      </w:pPr>
      <w:r>
        <w:rPr>
          <w:sz w:val="24"/>
        </w:rPr>
        <w:t>U.S. House of Representatives</w:t>
      </w:r>
    </w:p>
    <w:p>
      <w:pPr>
        <w:pStyle w:val="Normal"/>
        <w:rPr>
          <w:sz w:val="24"/>
        </w:rPr>
      </w:pPr>
      <w:r>
        <w:rPr>
          <w:sz w:val="24"/>
        </w:rPr>
      </w:r>
    </w:p>
    <w:p>
      <w:pPr>
        <w:pStyle w:val="Normal"/>
        <w:rPr>
          <w:sz w:val="24"/>
        </w:rPr>
      </w:pPr>
      <w:r>
        <w:rPr>
          <w:sz w:val="24"/>
        </w:rPr>
      </w:r>
    </w:p>
    <w:p>
      <w:pPr>
        <w:pStyle w:val="Normal"/>
        <w:rPr>
          <w:sz w:val="24"/>
        </w:rPr>
      </w:pPr>
      <w:r>
        <w:rPr>
          <w:sz w:val="24"/>
        </w:rPr>
        <w:t>Dear Chairman Oxley:</w:t>
      </w:r>
    </w:p>
    <w:p>
      <w:pPr>
        <w:pStyle w:val="Normal"/>
        <w:rPr>
          <w:sz w:val="24"/>
        </w:rPr>
      </w:pPr>
      <w:r>
        <w:rPr>
          <w:sz w:val="24"/>
        </w:rPr>
      </w:r>
    </w:p>
    <w:p>
      <w:pPr>
        <w:pStyle w:val="Normal"/>
        <w:rPr>
          <w:sz w:val="24"/>
        </w:rPr>
      </w:pPr>
      <w:r>
        <w:rPr>
          <w:sz w:val="24"/>
        </w:rPr>
        <w:t>We in the financial services industry applaud the creation of the new Committee on Financial Services that brings jurisdiction over securities, banking, and insurance transactions under one committee.  This action aligns the House committee structure with the realities of modern financial market structures and is a rational response to the recent Gramm-Leach-Bliley financial modernization legislation.  We also are very pleased to congratulate you on your election by the House as Chairman of this new committee.</w:t>
      </w:r>
    </w:p>
    <w:p>
      <w:pPr>
        <w:pStyle w:val="Normal"/>
        <w:rPr>
          <w:sz w:val="24"/>
        </w:rPr>
      </w:pPr>
      <w:r>
        <w:rPr>
          <w:sz w:val="24"/>
        </w:rPr>
      </w:r>
    </w:p>
    <w:p>
      <w:pPr>
        <w:pStyle w:val="Normal"/>
        <w:rPr>
          <w:sz w:val="24"/>
        </w:rPr>
      </w:pPr>
      <w:r>
        <w:rPr>
          <w:sz w:val="24"/>
        </w:rPr>
        <w:t>We understand that certain issues of Committee jurisdiction remain unresolved, and would like to comment on two of them:  ECNs and FASB.</w:t>
      </w:r>
    </w:p>
    <w:p>
      <w:pPr>
        <w:pStyle w:val="Normal"/>
        <w:rPr>
          <w:i/>
          <w:i/>
          <w:sz w:val="24"/>
          <w:u w:val="single"/>
        </w:rPr>
      </w:pPr>
      <w:r>
        <w:rPr>
          <w:i/>
          <w:sz w:val="24"/>
          <w:u w:val="single"/>
        </w:rPr>
      </w:r>
    </w:p>
    <w:p>
      <w:pPr>
        <w:pStyle w:val="Normal"/>
        <w:rPr/>
      </w:pPr>
      <w:r>
        <w:rPr>
          <w:b/>
          <w:i/>
          <w:sz w:val="24"/>
        </w:rPr>
        <w:t xml:space="preserve">ECNs.  </w:t>
      </w:r>
      <w:r>
        <w:rPr>
          <w:sz w:val="24"/>
        </w:rPr>
        <w:t>In our view, the House Financial Services Committee should have jurisdiction over financial electronic communications networks (ECNs) if it is to have effective oversight over essential aspects of the securities markets of the future.  Financial ECNs are entities that facilitate the trading, settling, or clearing of financial instruments, ATSs, and any other system the SEC or Congress may designate as well as other similar entities that may develop in the banking or insurance areas.</w:t>
      </w:r>
    </w:p>
    <w:p>
      <w:pPr>
        <w:pStyle w:val="Normal"/>
        <w:rPr>
          <w:sz w:val="24"/>
        </w:rPr>
      </w:pPr>
      <w:r>
        <w:rPr>
          <w:sz w:val="24"/>
        </w:rPr>
      </w:r>
    </w:p>
    <w:p>
      <w:pPr>
        <w:pStyle w:val="Normal"/>
        <w:rPr>
          <w:sz w:val="24"/>
        </w:rPr>
      </w:pPr>
      <w:r>
        <w:rPr>
          <w:sz w:val="24"/>
        </w:rPr>
        <w:t>ECNs, the trading facilities that operate by means of an electronic network, are a market response to perceived needs of market participants regarding audit trails, order matching, and efficient execution.  They are made possible by technology, but the policies implicated in their oversight are issues of market regulation, not of telecommunications regulation.</w:t>
      </w:r>
    </w:p>
    <w:p>
      <w:pPr>
        <w:pStyle w:val="Normal"/>
        <w:rPr>
          <w:sz w:val="24"/>
        </w:rPr>
      </w:pPr>
      <w:r>
        <w:rPr>
          <w:sz w:val="24"/>
        </w:rPr>
      </w:r>
    </w:p>
    <w:p>
      <w:pPr>
        <w:pStyle w:val="Normal"/>
        <w:rPr>
          <w:sz w:val="24"/>
        </w:rPr>
      </w:pPr>
      <w:r>
        <w:rPr>
          <w:sz w:val="24"/>
        </w:rPr>
        <w:t>The Securities and Exchange Commission oversees these trading facilities as it does all securities trading facilities, such as exchanges.  Their oversight can not be separated from broader financial markets oversight without undermining the regulatory modernization achieved by the enactment of Gramm-Leach-Bliley and by the creation of the new Financial Services Committee.  Without consistent regulation of all trading facilities, regulatory disparities and inequities are likely.</w:t>
      </w:r>
    </w:p>
    <w:p>
      <w:pPr>
        <w:pStyle w:val="Normal"/>
        <w:rPr>
          <w:sz w:val="24"/>
        </w:rPr>
      </w:pPr>
      <w:r>
        <w:rPr>
          <w:sz w:val="24"/>
        </w:rPr>
      </w:r>
    </w:p>
    <w:p>
      <w:pPr>
        <w:pStyle w:val="Normal"/>
        <w:rPr/>
      </w:pPr>
      <w:r>
        <w:rPr>
          <w:b/>
          <w:i/>
          <w:sz w:val="24"/>
        </w:rPr>
        <w:t xml:space="preserve">FASB.  </w:t>
      </w:r>
      <w:r>
        <w:rPr>
          <w:sz w:val="24"/>
        </w:rPr>
        <w:t xml:space="preserve">It is essential for the House Committee on Financial Services to assure that jurisdiction over the Financial Accounting Standards Board (FASB) and over the SEC remain in one committee in order to effectively exercise its jurisdiction over accounting disclosure and reporting issues critical to financial services.  </w:t>
      </w:r>
    </w:p>
    <w:p>
      <w:pPr>
        <w:pStyle w:val="Normal"/>
        <w:rPr>
          <w:sz w:val="24"/>
        </w:rPr>
      </w:pPr>
      <w:r>
        <w:rPr>
          <w:sz w:val="24"/>
        </w:rPr>
      </w:r>
    </w:p>
    <w:p>
      <w:pPr>
        <w:pStyle w:val="Normal"/>
        <w:rPr>
          <w:sz w:val="24"/>
        </w:rPr>
      </w:pPr>
      <w:r>
        <w:rPr>
          <w:sz w:val="24"/>
        </w:rPr>
        <w:t>FASB is the officially recognized private sector body that determines the rules for all financial accounting and reporting, including the preparation of financial statements.  Every public company regulated by the SEC is affected by FASB rulings.  Investors, creditors, and other market participants use accounting standards to analyze companies' financial statements and to make financial decisions.</w:t>
      </w:r>
    </w:p>
    <w:p>
      <w:pPr>
        <w:pStyle w:val="Normal"/>
        <w:rPr>
          <w:sz w:val="24"/>
        </w:rPr>
      </w:pPr>
      <w:r>
        <w:rPr>
          <w:sz w:val="24"/>
        </w:rPr>
      </w:r>
    </w:p>
    <w:p>
      <w:pPr>
        <w:pStyle w:val="Normal"/>
        <w:rPr>
          <w:sz w:val="24"/>
        </w:rPr>
      </w:pPr>
      <w:r>
        <w:rPr>
          <w:sz w:val="24"/>
        </w:rPr>
        <w:t>FASB's authority to set accounting standards is delegated by the SEC under its 1934 Act authority, and the SEC requires all publicly traded companies to adhere to the FASB standards.  The House Financial Services Committee’s oversight responsibilities for the SEC and securities laws underlying the financial markets logically include oversight of accounting standards.</w:t>
      </w:r>
    </w:p>
    <w:p>
      <w:pPr>
        <w:pStyle w:val="Normal"/>
        <w:rPr>
          <w:sz w:val="24"/>
        </w:rPr>
      </w:pPr>
      <w:r>
        <w:rPr>
          <w:sz w:val="24"/>
        </w:rPr>
      </w:r>
    </w:p>
    <w:p>
      <w:pPr>
        <w:pStyle w:val="Normal"/>
        <w:rPr>
          <w:sz w:val="24"/>
        </w:rPr>
      </w:pPr>
      <w:r>
        <w:rPr>
          <w:sz w:val="24"/>
        </w:rPr>
        <w:t xml:space="preserve">FASB Chairman Edmund Jenkins, in an April 2000 letter to Senators, stated FASB's mission as follows: </w:t>
      </w:r>
    </w:p>
    <w:p>
      <w:pPr>
        <w:pStyle w:val="Normal"/>
        <w:rPr>
          <w:sz w:val="24"/>
        </w:rPr>
      </w:pPr>
      <w:r>
        <w:rPr>
          <w:sz w:val="24"/>
        </w:rPr>
      </w:r>
    </w:p>
    <w:p>
      <w:pPr>
        <w:pStyle w:val="Normal"/>
        <w:ind w:start="720" w:end="0"/>
        <w:rPr>
          <w:sz w:val="24"/>
        </w:rPr>
      </w:pPr>
      <w:r>
        <w:rPr>
          <w:sz w:val="24"/>
        </w:rPr>
        <w:t xml:space="preserve">to establish and improve financial accounting and reporting standards that will result in transparent, credible, and comparable financial information.  Such information is important to the efficiency of the U.S. capital markets.  </w:t>
      </w:r>
    </w:p>
    <w:p>
      <w:pPr>
        <w:pStyle w:val="Normal"/>
        <w:rPr>
          <w:sz w:val="24"/>
        </w:rPr>
      </w:pPr>
      <w:r>
        <w:rPr>
          <w:sz w:val="24"/>
        </w:rPr>
      </w:r>
    </w:p>
    <w:p>
      <w:pPr>
        <w:pStyle w:val="Normal"/>
        <w:rPr>
          <w:sz w:val="24"/>
        </w:rPr>
      </w:pPr>
      <w:r>
        <w:rPr>
          <w:sz w:val="24"/>
        </w:rPr>
        <w:t>Further, Jenkins in his letter quoted Alan Greenspan's 1998 reference to FASB:</w:t>
      </w:r>
    </w:p>
    <w:p>
      <w:pPr>
        <w:pStyle w:val="Normal"/>
        <w:rPr>
          <w:sz w:val="24"/>
        </w:rPr>
      </w:pPr>
      <w:r>
        <w:rPr>
          <w:sz w:val="24"/>
        </w:rPr>
      </w:r>
    </w:p>
    <w:p>
      <w:pPr>
        <w:pStyle w:val="Normal"/>
        <w:ind w:start="720" w:end="0"/>
        <w:rPr>
          <w:sz w:val="24"/>
        </w:rPr>
      </w:pPr>
      <w:r>
        <w:rPr>
          <w:sz w:val="24"/>
        </w:rPr>
        <w:t>Transparent accounting plays an important role in maintaining the vibrancy of our financial markets....  An integral part of this process involves the Financial Accounting Standards Board (FASB) working directly with its constituents to develop appropriate accounting standards that reflect the needs of the marketplace.</w:t>
      </w:r>
    </w:p>
    <w:p>
      <w:pPr>
        <w:pStyle w:val="Normal"/>
        <w:ind w:start="720" w:end="0"/>
        <w:rPr>
          <w:sz w:val="24"/>
        </w:rPr>
      </w:pPr>
      <w:r>
        <w:rPr>
          <w:sz w:val="24"/>
        </w:rPr>
      </w:r>
    </w:p>
    <w:p>
      <w:pPr>
        <w:pStyle w:val="Normal"/>
        <w:rPr/>
      </w:pPr>
      <w:r>
        <w:rPr>
          <w:sz w:val="24"/>
        </w:rPr>
        <w:t>We hope that these comments are helpful in your consideration of jurisdictional issues.   We look forward to working closely with you in the 107</w:t>
      </w:r>
      <w:r>
        <w:rPr>
          <w:sz w:val="24"/>
          <w:vertAlign w:val="superscript"/>
        </w:rPr>
        <w:t>th</w:t>
      </w:r>
      <w:r>
        <w:rPr>
          <w:sz w:val="24"/>
        </w:rPr>
        <w:t xml:space="preserve"> Congress to promote the strength and integrity of the U.S. financial services industry and to maintain the global leadership of U.S. financial markets.  </w:t>
      </w:r>
    </w:p>
    <w:p>
      <w:pPr>
        <w:pStyle w:val="Normal"/>
        <w:rPr>
          <w:sz w:val="24"/>
        </w:rPr>
      </w:pPr>
      <w:r>
        <w:rPr>
          <w:sz w:val="24"/>
        </w:rPr>
      </w:r>
    </w:p>
    <w:p>
      <w:pPr>
        <w:pStyle w:val="Normal"/>
        <w:rPr>
          <w:sz w:val="24"/>
        </w:rPr>
      </w:pPr>
      <w:r>
        <w:rPr>
          <w:sz w:val="24"/>
        </w:rPr>
        <w:t>Sincerely,</w:t>
      </w:r>
    </w:p>
    <w:p>
      <w:pPr>
        <w:pStyle w:val="Normal"/>
        <w:ind w:start="720" w:end="0"/>
        <w:rPr>
          <w:sz w:val="24"/>
        </w:rPr>
      </w:pPr>
      <w:r>
        <w:rPr>
          <w:sz w:val="24"/>
        </w:rPr>
      </w:r>
    </w:p>
    <w:p>
      <w:pPr>
        <w:pStyle w:val="Normal"/>
        <w:rPr>
          <w:sz w:val="24"/>
        </w:rPr>
      </w:pPr>
      <w:r>
        <w:rPr>
          <w:sz w:val="24"/>
        </w:rPr>
        <w:t>American Bankers Association</w:t>
      </w:r>
    </w:p>
    <w:p>
      <w:pPr>
        <w:pStyle w:val="Normal"/>
        <w:rPr>
          <w:sz w:val="24"/>
        </w:rPr>
      </w:pPr>
      <w:r>
        <w:rPr>
          <w:sz w:val="24"/>
        </w:rPr>
        <w:t>American Council of Life Insurers</w:t>
      </w:r>
    </w:p>
    <w:p>
      <w:pPr>
        <w:pStyle w:val="Normal"/>
        <w:rPr>
          <w:sz w:val="24"/>
        </w:rPr>
      </w:pPr>
      <w:r>
        <w:rPr>
          <w:sz w:val="24"/>
        </w:rPr>
        <w:t>American Insurance Association</w:t>
      </w:r>
    </w:p>
    <w:p>
      <w:pPr>
        <w:pStyle w:val="Normal"/>
        <w:rPr>
          <w:sz w:val="24"/>
        </w:rPr>
      </w:pPr>
      <w:r>
        <w:rPr>
          <w:sz w:val="24"/>
        </w:rPr>
        <w:t>Investment Company Institute</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2001-01-09T12:53:00Z</dcterms:created>
  <dc:creator>jthibau</dc:creator>
  <dc:description/>
  <dc:language>en-CA</dc:language>
  <cp:lastModifiedBy>Stacy Carey</cp:lastModifiedBy>
  <dcterms:modified xsi:type="dcterms:W3CDTF">2001-01-09T12:53:00Z</dcterms:modified>
  <cp:revision>2</cp:revision>
  <dc:subject/>
  <dc:title>Honorable Mike Oxley</dc:title>
</cp:coreProperties>
</file>