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t>Interest rate &amp; fx risk in commodity portfolios</w:t>
      </w:r>
    </w:p>
    <w:p>
      <w:pPr>
        <w:pStyle w:val="Normal"/>
        <w:rPr>
          <w:b/>
          <w:u w:val="single"/>
        </w:rPr>
      </w:pPr>
      <w:r>
        <w:rPr>
          <w:b/>
          <w:u w:val="single"/>
        </w:rPr>
      </w:r>
    </w:p>
    <w:p>
      <w:pPr>
        <w:pStyle w:val="Normal"/>
        <w:rPr/>
      </w:pPr>
      <w:r>
        <w:rPr/>
      </w:r>
    </w:p>
    <w:p>
      <w:pPr>
        <w:pStyle w:val="Normal"/>
        <w:rPr>
          <w:u w:val="single"/>
        </w:rPr>
      </w:pPr>
      <w:r>
        <w:rPr>
          <w:u w:val="single"/>
        </w:rPr>
        <w:t>Overview</w:t>
      </w:r>
    </w:p>
    <w:p>
      <w:pPr>
        <w:pStyle w:val="Normal"/>
        <w:rPr>
          <w:u w:val="single"/>
        </w:rPr>
      </w:pPr>
      <w:r>
        <w:rPr>
          <w:u w:val="single"/>
        </w:rPr>
      </w:r>
    </w:p>
    <w:p>
      <w:pPr>
        <w:pStyle w:val="Normal"/>
        <w:rPr>
          <w:i/>
          <w:i/>
        </w:rPr>
      </w:pPr>
      <w:r>
        <w:rPr>
          <w:i/>
        </w:rPr>
        <w:t>Interest Rate risk</w:t>
      </w:r>
    </w:p>
    <w:p>
      <w:pPr>
        <w:pStyle w:val="Normal"/>
        <w:rPr>
          <w:i/>
          <w:i/>
        </w:rPr>
      </w:pPr>
      <w:r>
        <w:rPr>
          <w:i/>
        </w:rPr>
      </w:r>
    </w:p>
    <w:p>
      <w:pPr>
        <w:pStyle w:val="Normal"/>
        <w:rPr/>
      </w:pPr>
      <w:r>
        <w:rPr/>
        <w:t>Commodity portfolios (natural gas, power etc.) consist of numerous commodity contracts whose value is derived from cash-flows coming in the future. The value of the portfolio is the present value of all these cash-flows. The value of the portfolio changes as the interest rate curve changes. That is the primary source of interest rate risk in the portfolio. The commodity portfolio may consist of negative and positive cash-flows which may net out to zero present value but still may have sensitivity to the interest rate curve.</w:t>
      </w:r>
    </w:p>
    <w:p>
      <w:pPr>
        <w:pStyle w:val="Normal"/>
        <w:rPr/>
      </w:pPr>
      <w:r>
        <w:rPr/>
      </w:r>
    </w:p>
    <w:p>
      <w:pPr>
        <w:pStyle w:val="Normal"/>
        <w:rPr/>
      </w:pPr>
      <w:r>
        <w:rPr/>
        <w:t>The farther the timing of the net cash flows in the commodity portfolio, the higher is the sensitivity of the portfolio, to a basis point change in the interest rates.  Similarly, larger the absolute value of the cash flows higher the interest rate risk in the portfolio. Hence as business grows and as longer term origination deals are done in the portfolio the interest rate risk grows.</w:t>
      </w:r>
    </w:p>
    <w:p>
      <w:pPr>
        <w:pStyle w:val="Normal"/>
        <w:rPr/>
      </w:pPr>
      <w:r>
        <w:rPr/>
      </w:r>
    </w:p>
    <w:p>
      <w:pPr>
        <w:pStyle w:val="Normal"/>
        <w:rPr/>
      </w:pPr>
      <w:r>
        <w:rPr/>
        <w:t>The cash flows in the portfolio change as commodity prices / curves change or as new deals are added to the portfolio.   Hence the risk dynamically changes on a daily basis. Hence it is important to measure the interest rate risk on a regular basis, at least a daily basis, and manage it appropriately.</w:t>
      </w:r>
    </w:p>
    <w:p>
      <w:pPr>
        <w:pStyle w:val="Normal"/>
        <w:rPr/>
      </w:pPr>
      <w:r>
        <w:rPr/>
      </w:r>
    </w:p>
    <w:p>
      <w:pPr>
        <w:pStyle w:val="Normal"/>
        <w:rPr/>
      </w:pPr>
      <w:r>
        <w:rPr/>
        <w:t>As an example, the previous commodity portfolio, at one point in time, had a $800,000 per bp sensitivity, had a maturity of over 20 years and had significant curve risk. Hence the appropriate management of this risk is necessary as soon as the portfolio becomes of any substance.</w:t>
      </w:r>
    </w:p>
    <w:p>
      <w:pPr>
        <w:pStyle w:val="Normal"/>
        <w:rPr/>
      </w:pPr>
      <w:r>
        <w:rPr/>
      </w:r>
    </w:p>
    <w:p>
      <w:pPr>
        <w:pStyle w:val="Normal"/>
        <w:rPr/>
      </w:pPr>
      <w:r>
        <w:rPr/>
        <w:t>If the portfolio has contracts denominated in Cd$, then there will be a similar exposure to Canadian interest rate curves, which needs to be quantified and managed separately.</w:t>
      </w:r>
    </w:p>
    <w:p>
      <w:pPr>
        <w:pStyle w:val="Normal"/>
        <w:rPr/>
      </w:pPr>
      <w:r>
        <w:rPr/>
      </w:r>
    </w:p>
    <w:p>
      <w:pPr>
        <w:pStyle w:val="Normal"/>
        <w:rPr>
          <w:i/>
          <w:i/>
        </w:rPr>
      </w:pPr>
      <w:r>
        <w:rPr>
          <w:i/>
        </w:rPr>
        <w:t>Foreign Exchange Risk</w:t>
      </w:r>
    </w:p>
    <w:p>
      <w:pPr>
        <w:pStyle w:val="Normal"/>
        <w:rPr>
          <w:i/>
          <w:i/>
        </w:rPr>
      </w:pPr>
      <w:r>
        <w:rPr>
          <w:i/>
        </w:rPr>
      </w:r>
    </w:p>
    <w:p>
      <w:pPr>
        <w:pStyle w:val="Normal"/>
        <w:rPr/>
      </w:pPr>
      <w:r>
        <w:rPr/>
        <w:t>Foreign exchange risk arises from commodity contracts which are traded in a currency other than the primary commodity value currency. For example the AECO basis (difference between gas at AECO, a Canadian dollar commodity and Henry Hub gas, a US$ commodity) trades in US$.  A canadian basis trader, trading AECO basis in his book would want to hedge it to Cd$ immediately. That represents the primary source of foreign currency transaction risk in the books.  Such currency exposures could be long dated going out to five years, but focused to the first two years. This implies exposure to the forward points or the interest rate differentials between the individual interest rate curves in the two countries.</w:t>
      </w:r>
    </w:p>
    <w:p>
      <w:pPr>
        <w:pStyle w:val="Normal"/>
        <w:rPr/>
      </w:pPr>
      <w:r>
        <w:rPr/>
      </w:r>
    </w:p>
    <w:p>
      <w:pPr>
        <w:pStyle w:val="Normal"/>
        <w:rPr/>
      </w:pPr>
      <w:r>
        <w:rPr/>
      </w:r>
    </w:p>
    <w:p>
      <w:pPr>
        <w:pStyle w:val="Normal"/>
        <w:rPr>
          <w:b/>
        </w:rPr>
      </w:pPr>
      <w:r>
        <w:rPr>
          <w:b/>
        </w:rPr>
        <w:t>Financial Risk Architecture</w:t>
      </w:r>
    </w:p>
    <w:p>
      <w:pPr>
        <w:pStyle w:val="Normal"/>
        <w:rPr>
          <w:b/>
        </w:rPr>
      </w:pPr>
      <w:r>
        <w:rPr>
          <w:b/>
        </w:rPr>
      </w:r>
    </w:p>
    <w:p>
      <w:pPr>
        <w:pStyle w:val="Normal"/>
        <w:rPr/>
      </w:pPr>
      <w:r>
        <w:rPr/>
      </w:r>
    </w:p>
    <w:p>
      <w:pPr>
        <w:pStyle w:val="Normal"/>
        <w:rPr/>
      </w:pPr>
      <w:r>
        <w:rPr/>
        <w:t>Considering the above risk, the following are the primary structural decisions that need to be made as we setup these books again.</w:t>
      </w:r>
    </w:p>
    <w:p>
      <w:pPr>
        <w:pStyle w:val="Normal"/>
        <w:rPr/>
      </w:pPr>
      <w:r>
        <w:rPr/>
      </w:r>
    </w:p>
    <w:p>
      <w:pPr>
        <w:pStyle w:val="Normal"/>
        <w:numPr>
          <w:ilvl w:val="0"/>
          <w:numId w:val="1"/>
        </w:numPr>
        <w:rPr/>
      </w:pPr>
      <w:r>
        <w:rPr>
          <w:u w:val="single"/>
        </w:rPr>
        <w:t>Interest rate benchmark curve</w:t>
      </w:r>
      <w:r>
        <w:rPr/>
        <w:t xml:space="preserve">: The ideal answer to what curve should be used is that  if the cash-flows are negative, a liability, it should be our cost of funds curve, and if they are positive, it should be credit adjusted for the counterpartys credit risk. The practical answer is </w:t>
      </w:r>
      <w:r>
        <w:rPr>
          <w:u w:val="single"/>
        </w:rPr>
        <w:t>to mark the books to Libor</w:t>
      </w:r>
      <w:r>
        <w:rPr/>
        <w:t xml:space="preserve"> and take two adjustments or reserves. Credit reserve to the extent deals are done with other counterparties which are Non-Libor, and using some credit risk model. Cost of funds reserve to the extent the cashflows represent a liability and cost of funds is different from Libor. Since the cost of funds reserve can only be positive(cost of funds would be normally higher than Libor) , not taking a reserve, would mean being conservative, in marking our books. More-over being a part of UBS might mean that our true cost of funds might be close enough to Libor, that we may not need to take this reserve.</w:t>
      </w:r>
    </w:p>
    <w:p>
      <w:pPr>
        <w:pStyle w:val="Normal"/>
        <w:ind w:start="360" w:end="0"/>
        <w:rPr/>
      </w:pPr>
      <w:r>
        <w:rPr/>
      </w:r>
    </w:p>
    <w:p>
      <w:pPr>
        <w:pStyle w:val="Normal"/>
        <w:numPr>
          <w:ilvl w:val="0"/>
          <w:numId w:val="1"/>
        </w:numPr>
        <w:rPr/>
      </w:pPr>
      <w:r>
        <w:rPr>
          <w:u w:val="single"/>
        </w:rPr>
        <w:t>Curve methodology</w:t>
      </w:r>
      <w:r>
        <w:rPr/>
        <w:t xml:space="preserve"> : The Libor curve needs to be generated using hedge-able instruments.  The instruments used to generate the curve are Cash Libor for 3 months, Eurodollar futures for two years (8 euros) and swap rates (Tsy plus spreads, for 2,3,5,7,10,20,30). These data points are very liquid and can be posted using standard broker pages or futures closes.</w:t>
      </w:r>
    </w:p>
    <w:p>
      <w:pPr>
        <w:pStyle w:val="Normal"/>
        <w:rPr/>
      </w:pPr>
      <w:r>
        <w:rPr/>
      </w:r>
    </w:p>
    <w:p>
      <w:pPr>
        <w:pStyle w:val="Normal"/>
        <w:numPr>
          <w:ilvl w:val="0"/>
          <w:numId w:val="1"/>
        </w:numPr>
        <w:rPr/>
      </w:pPr>
      <w:r>
        <w:rPr>
          <w:u w:val="single"/>
        </w:rPr>
        <w:t>Curve generation logistics</w:t>
      </w:r>
      <w:r>
        <w:rPr/>
        <w:t xml:space="preserve"> :. The curve can be generated either by the parent company and sent over in some form to the Netco, or the curve can be generated at the subsidiary level. The interest rate trader at Netco can generate the curve using transparent prices from the market. The other possibility would be for the UBS curve to be downloaded as a strip of monthly zero coupon rates (and discount factors). However it  is important that the same system should be used to generate the curves and generate hedge ratios, since it would minimize tracking errors. Similarly closing foreign exchange  prices and long dated curves could be generated in either of the two methods.  For foreign exchange curves, a interest rate differential method could be used or the forward points could be input directly. The forward points get illiquid after 18 months or so, which might mean a two pronged strategy maybe necessary.</w:t>
      </w:r>
    </w:p>
    <w:p>
      <w:pPr>
        <w:pStyle w:val="Normal"/>
        <w:rPr/>
      </w:pPr>
      <w:r>
        <w:rPr/>
      </w:r>
    </w:p>
    <w:p>
      <w:pPr>
        <w:pStyle w:val="Normal"/>
        <w:numPr>
          <w:ilvl w:val="0"/>
          <w:numId w:val="1"/>
        </w:numPr>
        <w:rPr/>
      </w:pPr>
      <w:r>
        <w:rPr>
          <w:u w:val="single"/>
        </w:rPr>
        <w:t>Managing financial exposure</w:t>
      </w:r>
      <w:r>
        <w:rPr/>
        <w:t xml:space="preserve"> :The exposure will be hedged by the trader at Netco using euros, libor swaps, treasuries, futures and fx forwards.  The value and the risk of the hedge portfolio needs to be quantified on a daily basis. A system which can quantify the exposure in $/bp to each bucket is needed. The buckets are divided using all the instruments used to create the interest rate curve.A certain amount of VAR needs to allocated to keep some risk in the books.</w:t>
      </w:r>
    </w:p>
    <w:p>
      <w:pPr>
        <w:pStyle w:val="Normal"/>
        <w:rPr>
          <w:u w:val="single"/>
        </w:rPr>
      </w:pPr>
      <w:r>
        <w:rPr>
          <w:u w:val="single"/>
        </w:rPr>
      </w:r>
    </w:p>
    <w:p>
      <w:pPr>
        <w:pStyle w:val="Normal"/>
        <w:numPr>
          <w:ilvl w:val="0"/>
          <w:numId w:val="1"/>
        </w:numPr>
        <w:rPr/>
      </w:pPr>
      <w:r>
        <w:rPr>
          <w:u w:val="single"/>
        </w:rPr>
        <w:t>Risk &amp; P&amp;L interaction with commodity books</w:t>
      </w:r>
      <w:r>
        <w:rPr/>
        <w:t xml:space="preserve"> : A commodity book to rate book exchange communication needs to be established. On a daily basis, the commodity book needs to provide the rate book with a set of cash flows (before start of day, actually on the close of the last day), and also receive a P&amp;L which represents the hedge activity. The hedge P&amp;L should offset the commodity books interest rate P&amp;L. This hedge allocation should be done at the desk head level. The tracking error can be allocated in some equitable manner and the mandate of the trader would be to reduce the tracking error over the course of the year. Any outright risk position P&amp;L should be in a separate book and stay with the financial products trader.</w:t>
      </w:r>
    </w:p>
    <w:p>
      <w:pPr>
        <w:pStyle w:val="Normal"/>
        <w:rPr/>
      </w:pPr>
      <w:r>
        <w:rPr/>
      </w:r>
    </w:p>
    <w:p>
      <w:pPr>
        <w:pStyle w:val="Normal"/>
        <w:rPr>
          <w:b/>
        </w:rPr>
      </w:pPr>
      <w:r>
        <w:rPr>
          <w:b/>
        </w:rPr>
        <w:t>System Requirements</w:t>
      </w:r>
    </w:p>
    <w:p>
      <w:pPr>
        <w:pStyle w:val="Normal"/>
        <w:rPr>
          <w:b/>
        </w:rPr>
      </w:pPr>
      <w:r>
        <w:rPr>
          <w:b/>
        </w:rPr>
      </w:r>
    </w:p>
    <w:p>
      <w:pPr>
        <w:pStyle w:val="Normal"/>
        <w:numPr>
          <w:ilvl w:val="0"/>
          <w:numId w:val="2"/>
        </w:numPr>
        <w:rPr/>
      </w:pPr>
      <w:r>
        <w:rPr/>
        <w:t>Bootstrap interest rate curve using libor, Eurodollar futures and swaps. Create zero curves and forward curves.</w:t>
      </w:r>
    </w:p>
    <w:p>
      <w:pPr>
        <w:pStyle w:val="Normal"/>
        <w:numPr>
          <w:ilvl w:val="0"/>
          <w:numId w:val="2"/>
        </w:numPr>
        <w:rPr/>
      </w:pPr>
      <w:r>
        <w:rPr/>
        <w:t>Track, value and settle futures, treasuries and swaps.</w:t>
      </w:r>
    </w:p>
    <w:p>
      <w:pPr>
        <w:pStyle w:val="Normal"/>
        <w:numPr>
          <w:ilvl w:val="0"/>
          <w:numId w:val="2"/>
        </w:numPr>
        <w:rPr/>
      </w:pPr>
      <w:r>
        <w:rPr/>
        <w:t>Calculate a partial differential hedge for a cash flow strip and the individual instruments as well as a portfolio of cash-flows and hedge instruments</w:t>
      </w:r>
    </w:p>
    <w:p>
      <w:pPr>
        <w:pStyle w:val="Normal"/>
        <w:numPr>
          <w:ilvl w:val="0"/>
          <w:numId w:val="2"/>
        </w:numPr>
        <w:rPr/>
      </w:pPr>
      <w:r>
        <w:rPr/>
        <w:t>Calculate P&amp;L of all of the above on two different days using two different curves.</w:t>
      </w:r>
    </w:p>
    <w:p>
      <w:pPr>
        <w:pStyle w:val="Normal"/>
        <w:numPr>
          <w:ilvl w:val="0"/>
          <w:numId w:val="2"/>
        </w:numPr>
        <w:rPr/>
      </w:pPr>
      <w:r>
        <w:rPr/>
        <w:t>Provide liquidation and settlements and other accounting reports.</w:t>
      </w:r>
    </w:p>
    <w:p>
      <w:pPr>
        <w:pStyle w:val="Normal"/>
        <w:ind w:start="360" w:end="0"/>
        <w:rPr/>
      </w:pPr>
      <w:r>
        <w:rPr/>
      </w:r>
    </w:p>
    <w:p>
      <w:pPr>
        <w:pStyle w:val="Normal"/>
        <w:ind w:start="360" w:end="0"/>
        <w:rPr/>
      </w:pPr>
      <w:r>
        <w:rPr/>
      </w:r>
    </w:p>
    <w:p>
      <w:pPr>
        <w:pStyle w:val="Normal"/>
        <w:ind w:start="360" w:end="0"/>
        <w:rPr>
          <w:b/>
        </w:rPr>
      </w:pPr>
      <w:r>
        <w:rPr>
          <w:b/>
        </w:rPr>
        <w:t>Portfolio Return</w:t>
      </w:r>
    </w:p>
    <w:p>
      <w:pPr>
        <w:pStyle w:val="Normal"/>
        <w:ind w:start="360" w:end="0"/>
        <w:rPr>
          <w:b/>
        </w:rPr>
      </w:pPr>
      <w:r>
        <w:rPr>
          <w:b/>
        </w:rPr>
      </w:r>
    </w:p>
    <w:p>
      <w:pPr>
        <w:pStyle w:val="Normal"/>
        <w:ind w:start="360" w:end="0"/>
        <w:rPr/>
      </w:pPr>
      <w:r>
        <w:rPr/>
        <w:t>The hedging activity results in duration compression (effectively) reducing the portfolio to a floating rate note and hence results in short term interest rates. While this may be the ideal thing for the trading books because they want to take no volatility with changes in rates. It may be possible to have a separate risk policy to optimize the portfolio return (rather than always earn the short term Libor). Historically it has been a dis-advantage to earn short term Libor on your portfolio and an advantage to pay short term Libor on your liabilities.  No such high level policy has been used previously but it might be more appropriate as it might reduce hedging costs and noise, simplify the whole process and optimize the returns.</w:t>
      </w:r>
    </w:p>
    <w:p>
      <w:pPr>
        <w:pStyle w:val="Normal"/>
        <w:ind w:start="360" w:end="0"/>
        <w:rPr/>
      </w:pPr>
      <w:r>
        <w:rPr/>
      </w:r>
    </w:p>
    <w:p>
      <w:pPr>
        <w:pStyle w:val="Normal"/>
        <w:ind w:start="360" w:end="0"/>
        <w:rPr/>
      </w:pPr>
      <w:r>
        <w:rPr/>
      </w:r>
    </w:p>
    <w:p>
      <w:pPr>
        <w:pStyle w:val="Normal"/>
        <w:ind w:start="360" w:end="0"/>
        <w:rPr/>
      </w:pPr>
      <w:r>
        <w:rPr/>
        <w:t>Cash / Credit usage in hedging process</w:t>
      </w:r>
    </w:p>
    <w:p>
      <w:pPr>
        <w:pStyle w:val="Normal"/>
        <w:ind w:start="360" w:end="0"/>
        <w:rPr/>
      </w:pPr>
      <w:r>
        <w:rPr/>
      </w:r>
    </w:p>
    <w:p>
      <w:pPr>
        <w:pStyle w:val="Normal"/>
        <w:ind w:start="360" w:end="0"/>
        <w:rPr/>
      </w:pPr>
      <w:r>
        <w:rPr/>
        <w:t>Typically all hedges are cash settled and may require further cash allocation. Especially to the extent that the cost of funds is higher than Libor, if the hedges are out of the money and the portfolio grows, that asymmetry would effect portfolio return. It could be anticipated since all these hedges are done with internal counterparty that there would be little or no credit exposure.</w:t>
      </w:r>
    </w:p>
    <w:p>
      <w:pPr>
        <w:pStyle w:val="Normal"/>
        <w:ind w:start="360" w:end="0"/>
        <w:rPr/>
      </w:pPr>
      <w:r>
        <w:rPr/>
      </w:r>
    </w:p>
    <w:p>
      <w:pPr>
        <w:pStyle w:val="Normal"/>
        <w:ind w:start="360" w:end="0"/>
        <w:rPr/>
      </w:pPr>
      <w:r>
        <w:rPr/>
      </w:r>
    </w:p>
    <w:p>
      <w:pPr>
        <w:pStyle w:val="Normal"/>
        <w:rPr/>
      </w:pPr>
      <w:r>
        <w:rPr/>
      </w:r>
    </w:p>
    <w:p>
      <w:pPr>
        <w:pStyle w:val="Normal"/>
        <w:ind w:start="360" w:end="0"/>
        <w:rPr/>
      </w:pPr>
      <w:r>
        <w:rPr>
          <w:b/>
        </w:rPr>
        <w:t>Terminologies used at ENE related to interest rate and foreign exchange</w:t>
      </w:r>
    </w:p>
    <w:p>
      <w:pPr>
        <w:pStyle w:val="Normal"/>
        <w:ind w:start="360" w:end="0"/>
        <w:rPr>
          <w:b/>
        </w:rPr>
      </w:pPr>
      <w:r>
        <w:rPr>
          <w:b/>
        </w:rPr>
      </w:r>
    </w:p>
    <w:p>
      <w:pPr>
        <w:pStyle w:val="Normal"/>
        <w:ind w:start="360" w:end="0"/>
        <w:rPr/>
      </w:pPr>
      <w:r>
        <w:rPr/>
      </w:r>
    </w:p>
    <w:p>
      <w:pPr>
        <w:pStyle w:val="Normal"/>
        <w:ind w:start="360" w:end="0"/>
        <w:rPr/>
      </w:pPr>
      <w:r>
        <w:rPr/>
        <w:t>Rho – Interest rate curve risk (not related to options in any specific way), this is the change in portfolio or deal value if it were valued using beginning of day and end of day curves</w:t>
      </w:r>
    </w:p>
    <w:p>
      <w:pPr>
        <w:pStyle w:val="Normal"/>
        <w:ind w:start="360" w:end="0"/>
        <w:rPr/>
      </w:pPr>
      <w:r>
        <w:rPr/>
      </w:r>
    </w:p>
    <w:p>
      <w:pPr>
        <w:pStyle w:val="Normal"/>
        <w:ind w:start="360" w:end="0"/>
        <w:rPr/>
      </w:pPr>
      <w:r>
        <w:rPr/>
        <w:t>Drift – Change in portfolio value with each change in day without any change in the curve. This is the return on the portfolio. If the portfolio is hedged, that would imply duration has been reduced to a month or so, hence the return should be theoretically, excluding any transaction costs, be equal to the short term interest rate on the curve. That would be the net of the portfolio drift and the hedge portfolio drift.</w:t>
      </w:r>
    </w:p>
    <w:p>
      <w:pPr>
        <w:pStyle w:val="Normal"/>
        <w:ind w:start="360" w:end="0"/>
        <w:rPr/>
      </w:pPr>
      <w:r>
        <w:rPr/>
      </w:r>
    </w:p>
    <w:p>
      <w:pPr>
        <w:pStyle w:val="Normal"/>
        <w:ind w:start="360" w:end="0"/>
        <w:rPr/>
      </w:pPr>
      <w:r>
        <w:rPr/>
        <w:t>Curve convention – act/365.25, semi annually compounded. We might use this opportunity to change the legacy system to a normal act/365, semi annual curve.</w:t>
      </w:r>
    </w:p>
    <w:p>
      <w:pPr>
        <w:pStyle w:val="Normal"/>
        <w:ind w:start="360" w:end="0"/>
        <w:rPr/>
      </w:pPr>
      <w:r>
        <w:rPr/>
      </w:r>
    </w:p>
    <w:p>
      <w:pPr>
        <w:pStyle w:val="Normal"/>
        <w:ind w:start="360" w:end="0"/>
        <w:rPr/>
      </w:pPr>
      <w:r>
        <w:rPr/>
        <w:t>PDH – partial differential hedge refers to a bucket by bucket quantification of risk.</w:t>
      </w:r>
    </w:p>
    <w:p>
      <w:pPr>
        <w:pStyle w:val="Normal"/>
        <w:ind w:start="360" w:end="0"/>
        <w:rPr/>
      </w:pPr>
      <w:r>
        <w:rPr/>
      </w:r>
    </w:p>
    <w:p>
      <w:pPr>
        <w:pStyle w:val="Normal"/>
        <w:ind w:start="360" w:end="0"/>
        <w:rPr/>
      </w:pPr>
      <w:r>
        <w:rPr/>
        <w:t>Liquidation – Actual cash payments done on derivatives contracts</w:t>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2002-01-16T21:20:00Z</dcterms:created>
  <dc:creator>harora</dc:creator>
  <dc:description/>
  <dc:language>en-CA</dc:language>
  <cp:lastModifiedBy>Harry S Arora</cp:lastModifiedBy>
  <dcterms:modified xsi:type="dcterms:W3CDTF">2002-01-16T21:41:00Z</dcterms:modified>
  <cp:revision>3</cp:revision>
  <dc:subject/>
  <dc:title>Interest rate &amp; fx risk in commodity portfolios</dc:title>
</cp:coreProperties>
</file>