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rPr/>
      </w:pPr>
      <w:r>
        <w:rPr/>
        <w:t>Financial Power Trading (ENA)– June 5, 2000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2880"/>
        <w:gridCol w:w="1440"/>
        <w:gridCol w:w="1260"/>
      </w:tblGrid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882"/>
              <w:rPr/>
            </w:pPr>
            <w:r>
              <w:rPr/>
              <w:t xml:space="preserve">  </w:t>
            </w:r>
            <w:r>
              <w:rPr/>
              <w:t>NAME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CONFIRMCHANGES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HOURLY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Allegheny Energy Supply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American Electric Power Service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Aquila Risk Management Corp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Old ERMS – new Utilicorp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Cargill, Incorporated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4/16/99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Citizens Power Sales LLC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(draft sent 3/5/98)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Constellation Power Source,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Deseret Generation &amp; Transmission Cooperative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DTE Energy Trading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Duke Energy Trading &amp; Marketing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10/17/97 with “L.L.C.”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Edison Mission Marketing and Trading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–but confirm 2/15/00 with Edison Mission Financial Marketing and Trading Company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El Paso Electric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Engage Energy U.S.,L.P.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2/12/98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Enron Energy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4/22/98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Enron Power Marketing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3/31/97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Entergy Power Marketing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Yes–ECT Master 12/9/96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FirstEnergy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HESS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HQ Energy Services (US)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Keyspan Energy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Koch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Merced Irrigation District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3/25/99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Merchant Energy Group of the Americas,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5/14/98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Merrill Lynch Capital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2/2/92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NewEnergy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New York State Electric &amp; Gas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(comments sent 5/30/00)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Niagara Mohawk Energy Marketing,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NRG Power Marketing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– but confirm 1/6/00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PG&amp;E Energy Trading – Power, L.P.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PPL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                     (comments sent 10/12/99)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Select Energy,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(draft sent 5/27/99)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Sempra Energy Trading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Master Trading Agreement 2/22/96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Southern Company Energy Marketing, L.P.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6/1/94 with “L.P.”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Statoil Energy Trading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ECT Master 8/26/96 with “Inc.”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Tractebel Energy Marketing,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12/9/97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34. TransAlta Energy Marketing (US)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ECC has ISDA 6/2/97 with TransAlta Energy Marketing Corp.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35. Virginia Electric and Power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No- draft sent 3/12/99 but have ISDA 11/12/99 with Virginia Power Energy Marketing,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36. Williams Energy Marketing &amp; Trading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6/18/93 MISSING Trade Option Exemption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2000-06-05T16:24:00Z</dcterms:created>
  <dc:creator>sshackl</dc:creator>
  <dc:description/>
  <dc:language>en-CA</dc:language>
  <cp:lastModifiedBy>protmp2</cp:lastModifiedBy>
  <cp:lastPrinted>2000-06-15T16:50:00Z</cp:lastPrinted>
  <dcterms:modified xsi:type="dcterms:W3CDTF">2000-06-15T19:29:00Z</dcterms:modified>
  <cp:revision>22</cp:revision>
  <dc:subject/>
  <dc:title>Financial Power Trading</dc:title>
</cp:coreProperties>
</file>