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0"/>
        <w:rPr/>
      </w:pPr>
      <w:r>
        <w:rPr/>
        <w:t>Financial Information</w:t>
      </w:r>
    </w:p>
    <w:p>
      <w:pPr>
        <w:pStyle w:val="A0"/>
        <w:rPr/>
      </w:pPr>
      <w:r>
        <w:rPr/>
        <w:t>This section provides a description of the principal assumptions and calculations used in the financial model.  The table below lists a number of the key inputs for the financial model.</w:t>
      </w:r>
    </w:p>
    <w:p>
      <w:pPr>
        <w:pStyle w:val="Heading8"/>
        <w:rPr/>
      </w:pPr>
      <w:r>
        <w:rPr/>
        <w:t>Key Inputs</w:t>
      </w:r>
    </w:p>
    <w:tbl>
      <w:tblPr>
        <w:tblW w:w="9588" w:type="dxa"/>
        <w:jc w:val="start"/>
        <w:tblInd w:w="270" w:type="dxa"/>
        <w:tblLayout w:type="fixed"/>
        <w:tblCellMar>
          <w:top w:w="0" w:type="dxa"/>
          <w:start w:w="0" w:type="dxa"/>
          <w:bottom w:w="0" w:type="dxa"/>
          <w:end w:w="0" w:type="dxa"/>
        </w:tblCellMar>
      </w:tblPr>
      <w:tblGrid>
        <w:gridCol w:w="2076"/>
        <w:gridCol w:w="1254"/>
        <w:gridCol w:w="1152"/>
        <w:gridCol w:w="1152"/>
        <w:gridCol w:w="498"/>
        <w:gridCol w:w="1152"/>
        <w:gridCol w:w="1152"/>
        <w:gridCol w:w="1152"/>
      </w:tblGrid>
      <w:tr>
        <w:trPr>
          <w:trHeight w:val="435" w:hRule="atLeast"/>
        </w:trPr>
        <w:tc>
          <w:tcPr>
            <w:tcW w:w="2076" w:type="dxa"/>
            <w:tcBorders>
              <w:top w:val="single" w:sz="18" w:space="0" w:color="000000"/>
            </w:tcBorders>
          </w:tcPr>
          <w:p>
            <w:pPr>
              <w:pStyle w:val="TableHeadings"/>
              <w:snapToGrid w:val="false"/>
              <w:spacing w:before="36" w:after="36"/>
              <w:rPr/>
            </w:pPr>
            <w:r>
              <w:rPr/>
            </w:r>
          </w:p>
        </w:tc>
        <w:tc>
          <w:tcPr>
            <w:tcW w:w="3558" w:type="dxa"/>
            <w:gridSpan w:val="3"/>
            <w:tcBorders>
              <w:top w:val="single" w:sz="18" w:space="0" w:color="000000"/>
              <w:bottom w:val="single" w:sz="6" w:space="0" w:color="000000"/>
            </w:tcBorders>
          </w:tcPr>
          <w:p>
            <w:pPr>
              <w:pStyle w:val="TableHeadings"/>
              <w:spacing w:before="36" w:after="36"/>
              <w:jc w:val="center"/>
              <w:rPr/>
            </w:pPr>
            <w:r>
              <w:rPr/>
              <w:t>1999 Plants</w:t>
            </w:r>
          </w:p>
        </w:tc>
        <w:tc>
          <w:tcPr>
            <w:tcW w:w="498" w:type="dxa"/>
            <w:tcBorders>
              <w:top w:val="single" w:sz="18" w:space="0" w:color="000000"/>
            </w:tcBorders>
          </w:tcPr>
          <w:p>
            <w:pPr>
              <w:pStyle w:val="TableHeadings"/>
              <w:snapToGrid w:val="false"/>
              <w:spacing w:before="36" w:after="36"/>
              <w:rPr/>
            </w:pPr>
            <w:r>
              <w:rPr/>
            </w:r>
          </w:p>
        </w:tc>
        <w:tc>
          <w:tcPr>
            <w:tcW w:w="3456" w:type="dxa"/>
            <w:gridSpan w:val="3"/>
            <w:tcBorders>
              <w:top w:val="single" w:sz="18" w:space="0" w:color="000000"/>
              <w:bottom w:val="single" w:sz="6" w:space="0" w:color="000000"/>
            </w:tcBorders>
          </w:tcPr>
          <w:p>
            <w:pPr>
              <w:pStyle w:val="TableHeadings"/>
              <w:spacing w:before="36" w:after="36"/>
              <w:jc w:val="center"/>
              <w:rPr/>
            </w:pPr>
            <w:r>
              <w:rPr/>
              <w:t>2000 Plants</w:t>
            </w:r>
          </w:p>
        </w:tc>
      </w:tr>
      <w:tr>
        <w:trPr>
          <w:trHeight w:val="435" w:hRule="atLeast"/>
        </w:trPr>
        <w:tc>
          <w:tcPr>
            <w:tcW w:w="2076" w:type="dxa"/>
            <w:tcBorders>
              <w:bottom w:val="single" w:sz="2" w:space="0" w:color="000000"/>
            </w:tcBorders>
            <w:vAlign w:val="bottom"/>
          </w:tcPr>
          <w:p>
            <w:pPr>
              <w:pStyle w:val="TableHeadings"/>
              <w:snapToGrid w:val="false"/>
              <w:spacing w:before="36" w:after="36"/>
              <w:rPr>
                <w:rFonts w:ascii="Arial" w:hAnsi="Arial" w:cs="Arial"/>
                <w:caps/>
              </w:rPr>
            </w:pPr>
            <w:r>
              <w:rPr>
                <w:rFonts w:cs="Arial"/>
                <w:caps/>
              </w:rPr>
            </w:r>
          </w:p>
        </w:tc>
        <w:tc>
          <w:tcPr>
            <w:tcW w:w="1254" w:type="dxa"/>
            <w:tcBorders>
              <w:bottom w:val="single" w:sz="2" w:space="0" w:color="000000"/>
            </w:tcBorders>
            <w:vAlign w:val="bottom"/>
          </w:tcPr>
          <w:p>
            <w:pPr>
              <w:pStyle w:val="TableHeadings"/>
              <w:spacing w:before="36" w:after="36"/>
              <w:jc w:val="center"/>
              <w:rPr/>
            </w:pPr>
            <w:r>
              <w:rPr/>
              <w:t>BROWNSVILLE</w:t>
            </w:r>
          </w:p>
        </w:tc>
        <w:tc>
          <w:tcPr>
            <w:tcW w:w="1152" w:type="dxa"/>
            <w:tcBorders>
              <w:bottom w:val="single" w:sz="2" w:space="0" w:color="000000"/>
            </w:tcBorders>
            <w:vAlign w:val="bottom"/>
          </w:tcPr>
          <w:p>
            <w:pPr>
              <w:pStyle w:val="TableHeadings"/>
              <w:spacing w:before="36" w:after="36"/>
              <w:jc w:val="center"/>
              <w:rPr/>
            </w:pPr>
            <w:r>
              <w:rPr/>
              <w:t>caledonia</w:t>
            </w:r>
          </w:p>
        </w:tc>
        <w:tc>
          <w:tcPr>
            <w:tcW w:w="1152" w:type="dxa"/>
            <w:tcBorders>
              <w:bottom w:val="single" w:sz="2" w:space="0" w:color="000000"/>
            </w:tcBorders>
            <w:vAlign w:val="bottom"/>
          </w:tcPr>
          <w:p>
            <w:pPr>
              <w:pStyle w:val="TableHeadings"/>
              <w:spacing w:before="36" w:after="36"/>
              <w:jc w:val="center"/>
              <w:rPr/>
            </w:pPr>
            <w:r>
              <w:rPr/>
              <w:t>new</w:t>
              <w:br/>
              <w:t>albany</w:t>
            </w:r>
          </w:p>
        </w:tc>
        <w:tc>
          <w:tcPr>
            <w:tcW w:w="498" w:type="dxa"/>
            <w:tcBorders>
              <w:bottom w:val="single" w:sz="2" w:space="0" w:color="000000"/>
            </w:tcBorders>
            <w:vAlign w:val="bottom"/>
          </w:tcPr>
          <w:p>
            <w:pPr>
              <w:pStyle w:val="TableHeadings"/>
              <w:snapToGrid w:val="false"/>
              <w:spacing w:before="36" w:after="36"/>
              <w:rPr/>
            </w:pPr>
            <w:r>
              <w:rPr/>
            </w:r>
          </w:p>
        </w:tc>
        <w:tc>
          <w:tcPr>
            <w:tcW w:w="1152" w:type="dxa"/>
            <w:tcBorders>
              <w:bottom w:val="single" w:sz="2" w:space="0" w:color="000000"/>
            </w:tcBorders>
            <w:vAlign w:val="bottom"/>
          </w:tcPr>
          <w:p>
            <w:pPr>
              <w:pStyle w:val="TableHeadings"/>
              <w:spacing w:before="36" w:after="36"/>
              <w:jc w:val="center"/>
              <w:rPr/>
            </w:pPr>
            <w:r>
              <w:rPr/>
              <w:t>GleasoN</w:t>
            </w:r>
          </w:p>
        </w:tc>
        <w:tc>
          <w:tcPr>
            <w:tcW w:w="1152" w:type="dxa"/>
            <w:tcBorders>
              <w:bottom w:val="single" w:sz="2" w:space="0" w:color="000000"/>
            </w:tcBorders>
          </w:tcPr>
          <w:p>
            <w:pPr>
              <w:pStyle w:val="TableHeadings"/>
              <w:spacing w:before="36" w:after="36"/>
              <w:jc w:val="center"/>
              <w:rPr/>
            </w:pPr>
            <w:r>
              <w:rPr/>
              <w:br/>
              <w:t>wheatland</w:t>
            </w:r>
          </w:p>
        </w:tc>
        <w:tc>
          <w:tcPr>
            <w:tcW w:w="1152" w:type="dxa"/>
            <w:tcBorders>
              <w:bottom w:val="single" w:sz="2" w:space="0" w:color="000000"/>
            </w:tcBorders>
            <w:vAlign w:val="bottom"/>
          </w:tcPr>
          <w:p>
            <w:pPr>
              <w:pStyle w:val="TableHeadings"/>
              <w:spacing w:before="36" w:after="36"/>
              <w:jc w:val="center"/>
              <w:rPr/>
            </w:pPr>
            <w:r>
              <w:rPr/>
              <w:t>wilton center</w:t>
            </w:r>
          </w:p>
        </w:tc>
      </w:tr>
      <w:tr>
        <w:trPr>
          <w:trHeight w:val="435" w:hRule="atLeast"/>
        </w:trPr>
        <w:tc>
          <w:tcPr>
            <w:tcW w:w="2076" w:type="dxa"/>
            <w:tcBorders/>
          </w:tcPr>
          <w:p>
            <w:pPr>
              <w:pStyle w:val="TableText"/>
              <w:spacing w:before="36" w:after="36"/>
              <w:rPr>
                <w:sz w:val="16"/>
              </w:rPr>
            </w:pPr>
            <w:r>
              <w:rPr>
                <w:sz w:val="16"/>
              </w:rPr>
              <w:t>PPA Start Date</w:t>
            </w:r>
          </w:p>
        </w:tc>
        <w:tc>
          <w:tcPr>
            <w:tcW w:w="1254"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r>
      <w:tr>
        <w:trPr>
          <w:trHeight w:val="435" w:hRule="atLeast"/>
        </w:trPr>
        <w:tc>
          <w:tcPr>
            <w:tcW w:w="2076" w:type="dxa"/>
            <w:tcBorders/>
          </w:tcPr>
          <w:p>
            <w:pPr>
              <w:pStyle w:val="TableText"/>
              <w:spacing w:before="36" w:after="36"/>
              <w:rPr>
                <w:sz w:val="16"/>
              </w:rPr>
            </w:pPr>
            <w:r>
              <w:rPr>
                <w:sz w:val="16"/>
              </w:rPr>
              <w:t>ISO Capacity (MW)</w:t>
            </w:r>
          </w:p>
        </w:tc>
        <w:tc>
          <w:tcPr>
            <w:tcW w:w="1254" w:type="dxa"/>
            <w:tcBorders/>
          </w:tcPr>
          <w:p>
            <w:pPr>
              <w:pStyle w:val="TableText"/>
              <w:spacing w:before="36" w:after="36"/>
              <w:jc w:val="center"/>
              <w:rPr>
                <w:sz w:val="16"/>
              </w:rPr>
            </w:pPr>
            <w:r>
              <w:rPr>
                <w:sz w:val="16"/>
              </w:rPr>
              <w:t>494</w:t>
            </w:r>
          </w:p>
        </w:tc>
        <w:tc>
          <w:tcPr>
            <w:tcW w:w="1152" w:type="dxa"/>
            <w:tcBorders/>
          </w:tcPr>
          <w:p>
            <w:pPr>
              <w:pStyle w:val="TableText"/>
              <w:spacing w:before="36" w:after="36"/>
              <w:jc w:val="center"/>
              <w:rPr>
                <w:sz w:val="16"/>
              </w:rPr>
            </w:pPr>
            <w:r>
              <w:rPr>
                <w:sz w:val="16"/>
              </w:rPr>
              <w:t>504</w:t>
            </w:r>
          </w:p>
        </w:tc>
        <w:tc>
          <w:tcPr>
            <w:tcW w:w="1152" w:type="dxa"/>
            <w:tcBorders/>
          </w:tcPr>
          <w:p>
            <w:pPr>
              <w:pStyle w:val="TableText"/>
              <w:spacing w:before="36" w:after="36"/>
              <w:jc w:val="center"/>
              <w:rPr>
                <w:sz w:val="16"/>
              </w:rPr>
            </w:pPr>
            <w:r>
              <w:rPr>
                <w:sz w:val="16"/>
              </w:rPr>
              <w:t>396</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536</w:t>
            </w:r>
          </w:p>
        </w:tc>
        <w:tc>
          <w:tcPr>
            <w:tcW w:w="1152" w:type="dxa"/>
            <w:tcBorders/>
          </w:tcPr>
          <w:p>
            <w:pPr>
              <w:pStyle w:val="TableText"/>
              <w:spacing w:before="36" w:after="36"/>
              <w:jc w:val="center"/>
              <w:rPr>
                <w:sz w:val="16"/>
              </w:rPr>
            </w:pPr>
            <w:r>
              <w:rPr>
                <w:sz w:val="16"/>
              </w:rPr>
              <w:t>508</w:t>
            </w:r>
          </w:p>
        </w:tc>
        <w:tc>
          <w:tcPr>
            <w:tcW w:w="1152" w:type="dxa"/>
            <w:tcBorders/>
          </w:tcPr>
          <w:p>
            <w:pPr>
              <w:pStyle w:val="TableText"/>
              <w:spacing w:before="36" w:after="36"/>
              <w:jc w:val="center"/>
              <w:rPr>
                <w:sz w:val="16"/>
              </w:rPr>
            </w:pPr>
            <w:r>
              <w:rPr>
                <w:sz w:val="16"/>
              </w:rPr>
              <w:t>656</w:t>
            </w:r>
          </w:p>
        </w:tc>
      </w:tr>
      <w:tr>
        <w:trPr>
          <w:trHeight w:val="435" w:hRule="atLeast"/>
        </w:trPr>
        <w:tc>
          <w:tcPr>
            <w:tcW w:w="2076" w:type="dxa"/>
            <w:tcBorders/>
          </w:tcPr>
          <w:p>
            <w:pPr>
              <w:pStyle w:val="TableText"/>
              <w:spacing w:before="36" w:after="36"/>
              <w:rPr>
                <w:sz w:val="16"/>
              </w:rPr>
            </w:pPr>
            <w:r>
              <w:rPr>
                <w:sz w:val="16"/>
              </w:rPr>
              <w:t>Contractual PPA Capacity (MW)</w:t>
            </w:r>
            <w:r>
              <w:rPr>
                <w:sz w:val="16"/>
                <w:vertAlign w:val="superscript"/>
              </w:rPr>
              <w:t xml:space="preserve"> (1)</w:t>
            </w:r>
          </w:p>
        </w:tc>
        <w:tc>
          <w:tcPr>
            <w:tcW w:w="1254" w:type="dxa"/>
            <w:tcBorders/>
          </w:tcPr>
          <w:p>
            <w:pPr>
              <w:pStyle w:val="TableText"/>
              <w:spacing w:before="36" w:after="36"/>
              <w:jc w:val="center"/>
              <w:rPr>
                <w:sz w:val="16"/>
              </w:rPr>
            </w:pPr>
            <w:r>
              <w:rPr>
                <w:sz w:val="16"/>
              </w:rPr>
              <w:t>458</w:t>
            </w:r>
          </w:p>
        </w:tc>
        <w:tc>
          <w:tcPr>
            <w:tcW w:w="1152" w:type="dxa"/>
            <w:tcBorders/>
          </w:tcPr>
          <w:p>
            <w:pPr>
              <w:pStyle w:val="TableText"/>
              <w:spacing w:before="36" w:after="36"/>
              <w:jc w:val="center"/>
              <w:rPr>
                <w:sz w:val="16"/>
              </w:rPr>
            </w:pPr>
            <w:r>
              <w:rPr>
                <w:sz w:val="16"/>
              </w:rPr>
              <w:t>466</w:t>
            </w:r>
          </w:p>
        </w:tc>
        <w:tc>
          <w:tcPr>
            <w:tcW w:w="1152" w:type="dxa"/>
            <w:tcBorders/>
          </w:tcPr>
          <w:p>
            <w:pPr>
              <w:pStyle w:val="TableText"/>
              <w:spacing w:before="36" w:after="36"/>
              <w:jc w:val="center"/>
              <w:rPr>
                <w:sz w:val="16"/>
              </w:rPr>
            </w:pPr>
            <w:r>
              <w:rPr>
                <w:sz w:val="16"/>
              </w:rPr>
              <w:t>371</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510</w:t>
            </w:r>
          </w:p>
        </w:tc>
        <w:tc>
          <w:tcPr>
            <w:tcW w:w="1152" w:type="dxa"/>
            <w:tcBorders/>
          </w:tcPr>
          <w:p>
            <w:pPr>
              <w:pStyle w:val="TableText"/>
              <w:spacing w:before="36" w:after="36"/>
              <w:jc w:val="center"/>
              <w:rPr>
                <w:sz w:val="16"/>
              </w:rPr>
            </w:pPr>
            <w:r>
              <w:rPr>
                <w:sz w:val="16"/>
              </w:rPr>
              <w:t>470</w:t>
            </w:r>
          </w:p>
        </w:tc>
        <w:tc>
          <w:tcPr>
            <w:tcW w:w="1152" w:type="dxa"/>
            <w:tcBorders/>
          </w:tcPr>
          <w:p>
            <w:pPr>
              <w:pStyle w:val="TableText"/>
              <w:spacing w:before="36" w:after="36"/>
              <w:jc w:val="center"/>
              <w:rPr>
                <w:sz w:val="16"/>
              </w:rPr>
            </w:pPr>
            <w:r>
              <w:rPr>
                <w:sz w:val="16"/>
              </w:rPr>
              <w:t>608</w:t>
            </w:r>
          </w:p>
        </w:tc>
      </w:tr>
      <w:tr>
        <w:trPr>
          <w:trHeight w:val="435" w:hRule="atLeast"/>
        </w:trPr>
        <w:tc>
          <w:tcPr>
            <w:tcW w:w="2076" w:type="dxa"/>
            <w:tcBorders/>
          </w:tcPr>
          <w:p>
            <w:pPr>
              <w:pStyle w:val="TableText"/>
              <w:spacing w:before="36" w:after="36"/>
              <w:rPr>
                <w:sz w:val="16"/>
              </w:rPr>
            </w:pPr>
            <w:r>
              <w:rPr>
                <w:sz w:val="16"/>
              </w:rPr>
              <w:t xml:space="preserve">Expected Annual </w:t>
              <w:br/>
              <w:t>Operating Hours</w:t>
            </w:r>
          </w:p>
        </w:tc>
        <w:tc>
          <w:tcPr>
            <w:tcW w:w="1254" w:type="dxa"/>
            <w:tcBorders/>
          </w:tcPr>
          <w:p>
            <w:pPr>
              <w:pStyle w:val="TableText"/>
              <w:spacing w:before="36" w:after="36"/>
              <w:jc w:val="center"/>
              <w:rPr>
                <w:sz w:val="16"/>
              </w:rPr>
            </w:pPr>
            <w:r>
              <w:rPr>
                <w:sz w:val="16"/>
              </w:rPr>
              <w:t>1,365</w:t>
            </w:r>
          </w:p>
        </w:tc>
        <w:tc>
          <w:tcPr>
            <w:tcW w:w="1152" w:type="dxa"/>
            <w:tcBorders/>
          </w:tcPr>
          <w:p>
            <w:pPr>
              <w:pStyle w:val="TableText"/>
              <w:spacing w:before="36" w:after="36"/>
              <w:jc w:val="center"/>
              <w:rPr>
                <w:sz w:val="16"/>
              </w:rPr>
            </w:pPr>
            <w:r>
              <w:rPr>
                <w:sz w:val="16"/>
              </w:rPr>
              <w:t>1,685</w:t>
            </w:r>
          </w:p>
        </w:tc>
        <w:tc>
          <w:tcPr>
            <w:tcW w:w="1152" w:type="dxa"/>
            <w:tcBorders/>
          </w:tcPr>
          <w:p>
            <w:pPr>
              <w:pStyle w:val="TableText"/>
              <w:spacing w:before="36" w:after="36"/>
              <w:jc w:val="center"/>
              <w:rPr>
                <w:sz w:val="16"/>
              </w:rPr>
            </w:pPr>
            <w:r>
              <w:rPr>
                <w:sz w:val="16"/>
              </w:rPr>
              <w:t>1,086</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915</w:t>
            </w:r>
          </w:p>
        </w:tc>
        <w:tc>
          <w:tcPr>
            <w:tcW w:w="1152" w:type="dxa"/>
            <w:tcBorders/>
          </w:tcPr>
          <w:p>
            <w:pPr>
              <w:pStyle w:val="TableText"/>
              <w:spacing w:before="36" w:after="36"/>
              <w:jc w:val="center"/>
              <w:rPr>
                <w:sz w:val="16"/>
              </w:rPr>
            </w:pPr>
            <w:r>
              <w:rPr>
                <w:sz w:val="16"/>
              </w:rPr>
              <w:t>902</w:t>
            </w:r>
          </w:p>
        </w:tc>
        <w:tc>
          <w:tcPr>
            <w:tcW w:w="1152" w:type="dxa"/>
            <w:tcBorders/>
          </w:tcPr>
          <w:p>
            <w:pPr>
              <w:pStyle w:val="TableText"/>
              <w:spacing w:before="36" w:after="36"/>
              <w:jc w:val="center"/>
              <w:rPr>
                <w:sz w:val="16"/>
              </w:rPr>
            </w:pPr>
            <w:r>
              <w:rPr>
                <w:sz w:val="16"/>
              </w:rPr>
              <w:t>3,250</w:t>
            </w:r>
          </w:p>
        </w:tc>
      </w:tr>
      <w:tr>
        <w:trPr>
          <w:trHeight w:val="435" w:hRule="atLeast"/>
        </w:trPr>
        <w:tc>
          <w:tcPr>
            <w:tcW w:w="2076" w:type="dxa"/>
            <w:tcBorders/>
          </w:tcPr>
          <w:p>
            <w:pPr>
              <w:pStyle w:val="TableText"/>
              <w:spacing w:before="36" w:after="36"/>
              <w:rPr>
                <w:sz w:val="16"/>
              </w:rPr>
            </w:pPr>
            <w:r>
              <w:rPr>
                <w:sz w:val="16"/>
              </w:rPr>
              <w:t>Annual Generation</w:t>
              <w:br/>
              <w:t>(000 MWh/year)</w:t>
            </w:r>
            <w:r>
              <w:rPr>
                <w:sz w:val="16"/>
                <w:vertAlign w:val="superscript"/>
              </w:rPr>
              <w:t>(1)</w:t>
            </w:r>
          </w:p>
        </w:tc>
        <w:tc>
          <w:tcPr>
            <w:tcW w:w="1254" w:type="dxa"/>
            <w:tcBorders/>
          </w:tcPr>
          <w:p>
            <w:pPr>
              <w:pStyle w:val="TableText"/>
              <w:spacing w:before="36" w:after="36"/>
              <w:jc w:val="center"/>
              <w:rPr>
                <w:sz w:val="16"/>
              </w:rPr>
            </w:pPr>
            <w:r>
              <w:rPr>
                <w:sz w:val="16"/>
              </w:rPr>
              <w:t>625</w:t>
            </w:r>
          </w:p>
        </w:tc>
        <w:tc>
          <w:tcPr>
            <w:tcW w:w="1152" w:type="dxa"/>
            <w:tcBorders/>
          </w:tcPr>
          <w:p>
            <w:pPr>
              <w:pStyle w:val="TableText"/>
              <w:spacing w:before="36" w:after="36"/>
              <w:jc w:val="center"/>
              <w:rPr>
                <w:sz w:val="16"/>
              </w:rPr>
            </w:pPr>
            <w:r>
              <w:rPr>
                <w:sz w:val="16"/>
              </w:rPr>
              <w:t>785</w:t>
            </w:r>
          </w:p>
        </w:tc>
        <w:tc>
          <w:tcPr>
            <w:tcW w:w="1152" w:type="dxa"/>
            <w:tcBorders/>
          </w:tcPr>
          <w:p>
            <w:pPr>
              <w:pStyle w:val="TableText"/>
              <w:spacing w:before="36" w:after="36"/>
              <w:jc w:val="center"/>
              <w:rPr>
                <w:sz w:val="16"/>
              </w:rPr>
            </w:pPr>
            <w:r>
              <w:rPr>
                <w:sz w:val="16"/>
              </w:rPr>
              <w:t>403</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467</w:t>
            </w:r>
          </w:p>
        </w:tc>
        <w:tc>
          <w:tcPr>
            <w:tcW w:w="1152" w:type="dxa"/>
            <w:tcBorders/>
          </w:tcPr>
          <w:p>
            <w:pPr>
              <w:pStyle w:val="TableText"/>
              <w:spacing w:before="36" w:after="36"/>
              <w:jc w:val="center"/>
              <w:rPr>
                <w:sz w:val="16"/>
              </w:rPr>
            </w:pPr>
            <w:r>
              <w:rPr>
                <w:sz w:val="16"/>
              </w:rPr>
              <w:t>424</w:t>
            </w:r>
          </w:p>
        </w:tc>
        <w:tc>
          <w:tcPr>
            <w:tcW w:w="1152" w:type="dxa"/>
            <w:tcBorders/>
          </w:tcPr>
          <w:p>
            <w:pPr>
              <w:pStyle w:val="TableText"/>
              <w:spacing w:before="36" w:after="36"/>
              <w:jc w:val="center"/>
              <w:rPr>
                <w:sz w:val="16"/>
              </w:rPr>
            </w:pPr>
            <w:r>
              <w:rPr>
                <w:sz w:val="16"/>
              </w:rPr>
              <w:t>1,976</w:t>
            </w:r>
          </w:p>
        </w:tc>
      </w:tr>
      <w:tr>
        <w:trPr>
          <w:trHeight w:val="435" w:hRule="atLeast"/>
        </w:trPr>
        <w:tc>
          <w:tcPr>
            <w:tcW w:w="2076" w:type="dxa"/>
            <w:tcBorders/>
          </w:tcPr>
          <w:p>
            <w:pPr>
              <w:pStyle w:val="TableText"/>
              <w:spacing w:before="36" w:after="36"/>
              <w:rPr>
                <w:sz w:val="16"/>
              </w:rPr>
            </w:pPr>
            <w:r>
              <w:rPr>
                <w:sz w:val="16"/>
              </w:rPr>
              <w:t>Demand Charge Rate</w:t>
              <w:br/>
              <w:t>($/kW-month)</w:t>
            </w:r>
          </w:p>
        </w:tc>
        <w:tc>
          <w:tcPr>
            <w:tcW w:w="1254"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r>
      <w:tr>
        <w:trPr>
          <w:trHeight w:val="435" w:hRule="atLeast"/>
        </w:trPr>
        <w:tc>
          <w:tcPr>
            <w:tcW w:w="2076" w:type="dxa"/>
            <w:tcBorders/>
          </w:tcPr>
          <w:p>
            <w:pPr>
              <w:pStyle w:val="TableText"/>
              <w:spacing w:before="36" w:after="36"/>
              <w:rPr>
                <w:sz w:val="16"/>
              </w:rPr>
            </w:pPr>
            <w:r>
              <w:rPr>
                <w:sz w:val="16"/>
              </w:rPr>
              <w:t>Energy Charge             (2000 $/MWh)</w:t>
            </w:r>
          </w:p>
        </w:tc>
        <w:tc>
          <w:tcPr>
            <w:tcW w:w="1254"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3.00</w:t>
            </w:r>
          </w:p>
        </w:tc>
        <w:tc>
          <w:tcPr>
            <w:tcW w:w="1152" w:type="dxa"/>
            <w:tcBorders/>
          </w:tcPr>
          <w:p>
            <w:pPr>
              <w:pStyle w:val="TableText"/>
              <w:spacing w:before="36" w:after="36"/>
              <w:jc w:val="center"/>
              <w:rPr>
                <w:sz w:val="16"/>
              </w:rPr>
            </w:pPr>
            <w:r>
              <w:rPr>
                <w:sz w:val="16"/>
              </w:rPr>
              <w:t>2.00</w:t>
            </w:r>
          </w:p>
        </w:tc>
      </w:tr>
      <w:tr>
        <w:trPr>
          <w:trHeight w:val="435" w:hRule="atLeast"/>
        </w:trPr>
        <w:tc>
          <w:tcPr>
            <w:tcW w:w="2076" w:type="dxa"/>
            <w:tcBorders/>
          </w:tcPr>
          <w:p>
            <w:pPr>
              <w:pStyle w:val="TableText"/>
              <w:spacing w:before="36" w:after="36"/>
              <w:rPr>
                <w:sz w:val="16"/>
              </w:rPr>
            </w:pPr>
            <w:r>
              <w:rPr>
                <w:sz w:val="16"/>
              </w:rPr>
              <w:t>Block Charge (2000 $/Start/turbine)</w:t>
            </w:r>
          </w:p>
        </w:tc>
        <w:tc>
          <w:tcPr>
            <w:tcW w:w="1254" w:type="dxa"/>
            <w:tcBorders/>
          </w:tcPr>
          <w:p>
            <w:pPr>
              <w:pStyle w:val="TableText"/>
              <w:spacing w:before="36" w:after="36"/>
              <w:jc w:val="center"/>
              <w:rPr>
                <w:sz w:val="16"/>
              </w:rPr>
            </w:pPr>
            <w:r>
              <w:rPr>
                <w:sz w:val="16"/>
              </w:rPr>
              <w:t>1,500</w:t>
            </w:r>
          </w:p>
        </w:tc>
        <w:tc>
          <w:tcPr>
            <w:tcW w:w="1152" w:type="dxa"/>
            <w:tcBorders/>
          </w:tcPr>
          <w:p>
            <w:pPr>
              <w:pStyle w:val="TableText"/>
              <w:spacing w:before="36" w:after="36"/>
              <w:jc w:val="center"/>
              <w:rPr>
                <w:sz w:val="16"/>
              </w:rPr>
            </w:pPr>
            <w:r>
              <w:rPr>
                <w:sz w:val="16"/>
              </w:rPr>
              <w:t>1,000</w:t>
            </w:r>
          </w:p>
        </w:tc>
        <w:tc>
          <w:tcPr>
            <w:tcW w:w="1152" w:type="dxa"/>
            <w:tcBorders/>
          </w:tcPr>
          <w:p>
            <w:pPr>
              <w:pStyle w:val="TableText"/>
              <w:spacing w:before="36" w:after="36"/>
              <w:jc w:val="center"/>
              <w:rPr>
                <w:sz w:val="16"/>
              </w:rPr>
            </w:pPr>
            <w:r>
              <w:rPr>
                <w:sz w:val="16"/>
              </w:rPr>
              <w:t>1,000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1,500</w:t>
            </w:r>
          </w:p>
        </w:tc>
        <w:tc>
          <w:tcPr>
            <w:tcW w:w="1152" w:type="dxa"/>
            <w:tcBorders/>
          </w:tcPr>
          <w:p>
            <w:pPr>
              <w:pStyle w:val="TableText"/>
              <w:spacing w:before="36" w:after="36"/>
              <w:jc w:val="center"/>
              <w:rPr>
                <w:sz w:val="16"/>
              </w:rPr>
            </w:pPr>
            <w:r>
              <w:rPr>
                <w:sz w:val="16"/>
              </w:rPr>
              <w:t>1,500</w:t>
            </w:r>
          </w:p>
        </w:tc>
        <w:tc>
          <w:tcPr>
            <w:tcW w:w="1152" w:type="dxa"/>
            <w:tcBorders/>
          </w:tcPr>
          <w:p>
            <w:pPr>
              <w:pStyle w:val="TableText"/>
              <w:spacing w:before="36" w:after="36"/>
              <w:jc w:val="center"/>
              <w:rPr>
                <w:sz w:val="16"/>
              </w:rPr>
            </w:pPr>
            <w:r>
              <w:rPr>
                <w:sz w:val="16"/>
              </w:rPr>
              <w:t>1,000</w:t>
            </w:r>
          </w:p>
        </w:tc>
      </w:tr>
      <w:tr>
        <w:trPr>
          <w:trHeight w:val="435" w:hRule="atLeast"/>
        </w:trPr>
        <w:tc>
          <w:tcPr>
            <w:tcW w:w="2076" w:type="dxa"/>
            <w:tcBorders/>
          </w:tcPr>
          <w:p>
            <w:pPr>
              <w:pStyle w:val="TableText"/>
              <w:spacing w:before="36" w:after="36"/>
              <w:rPr>
                <w:sz w:val="16"/>
              </w:rPr>
            </w:pPr>
            <w:r>
              <w:rPr>
                <w:sz w:val="16"/>
              </w:rPr>
              <w:t>Assumed Starts Per Year</w:t>
            </w:r>
          </w:p>
        </w:tc>
        <w:tc>
          <w:tcPr>
            <w:tcW w:w="1254"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r>
      <w:tr>
        <w:trPr>
          <w:trHeight w:val="435" w:hRule="atLeast"/>
        </w:trPr>
        <w:tc>
          <w:tcPr>
            <w:tcW w:w="2076" w:type="dxa"/>
            <w:tcBorders/>
          </w:tcPr>
          <w:p>
            <w:pPr>
              <w:pStyle w:val="TableText"/>
              <w:spacing w:before="36" w:after="36"/>
              <w:rPr>
                <w:sz w:val="16"/>
              </w:rPr>
            </w:pPr>
            <w:r>
              <w:rPr>
                <w:sz w:val="16"/>
              </w:rPr>
              <w:t>Number of Turbines</w:t>
            </w:r>
          </w:p>
        </w:tc>
        <w:tc>
          <w:tcPr>
            <w:tcW w:w="1254" w:type="dxa"/>
            <w:tcBorders/>
          </w:tcPr>
          <w:p>
            <w:pPr>
              <w:pStyle w:val="TableText"/>
              <w:spacing w:before="36" w:after="36"/>
              <w:jc w:val="center"/>
              <w:rPr>
                <w:sz w:val="16"/>
              </w:rPr>
            </w:pPr>
            <w:r>
              <w:rPr>
                <w:sz w:val="16"/>
              </w:rPr>
              <w:t>4</w:t>
            </w:r>
          </w:p>
        </w:tc>
        <w:tc>
          <w:tcPr>
            <w:tcW w:w="1152" w:type="dxa"/>
            <w:tcBorders/>
          </w:tcPr>
          <w:p>
            <w:pPr>
              <w:pStyle w:val="TableText"/>
              <w:spacing w:before="36" w:after="36"/>
              <w:jc w:val="center"/>
              <w:rPr>
                <w:sz w:val="16"/>
              </w:rPr>
            </w:pPr>
            <w:r>
              <w:rPr>
                <w:sz w:val="16"/>
              </w:rPr>
              <w:t>6</w:t>
            </w:r>
          </w:p>
        </w:tc>
        <w:tc>
          <w:tcPr>
            <w:tcW w:w="1152" w:type="dxa"/>
            <w:tcBorders/>
          </w:tcPr>
          <w:p>
            <w:pPr>
              <w:pStyle w:val="TableText"/>
              <w:spacing w:before="36" w:after="36"/>
              <w:jc w:val="center"/>
              <w:rPr>
                <w:sz w:val="16"/>
              </w:rPr>
            </w:pPr>
            <w:r>
              <w:rPr>
                <w:sz w:val="16"/>
              </w:rPr>
              <w:t>6</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3</w:t>
            </w:r>
          </w:p>
        </w:tc>
        <w:tc>
          <w:tcPr>
            <w:tcW w:w="1152" w:type="dxa"/>
            <w:tcBorders/>
          </w:tcPr>
          <w:p>
            <w:pPr>
              <w:pStyle w:val="TableText"/>
              <w:spacing w:before="36" w:after="36"/>
              <w:jc w:val="center"/>
              <w:rPr>
                <w:sz w:val="16"/>
              </w:rPr>
            </w:pPr>
            <w:r>
              <w:rPr>
                <w:sz w:val="16"/>
              </w:rPr>
              <w:t>4</w:t>
            </w:r>
          </w:p>
        </w:tc>
        <w:tc>
          <w:tcPr>
            <w:tcW w:w="1152" w:type="dxa"/>
            <w:tcBorders/>
          </w:tcPr>
          <w:p>
            <w:pPr>
              <w:pStyle w:val="TableText"/>
              <w:spacing w:before="36" w:after="36"/>
              <w:jc w:val="center"/>
              <w:rPr>
                <w:sz w:val="16"/>
              </w:rPr>
            </w:pPr>
            <w:r>
              <w:rPr>
                <w:sz w:val="16"/>
              </w:rPr>
              <w:t>8</w:t>
            </w:r>
          </w:p>
        </w:tc>
      </w:tr>
      <w:tr>
        <w:trPr>
          <w:trHeight w:val="435" w:hRule="atLeast"/>
        </w:trPr>
        <w:tc>
          <w:tcPr>
            <w:tcW w:w="2076" w:type="dxa"/>
            <w:tcBorders/>
          </w:tcPr>
          <w:p>
            <w:pPr>
              <w:pStyle w:val="TableText"/>
              <w:spacing w:before="36" w:after="36"/>
              <w:rPr>
                <w:sz w:val="16"/>
              </w:rPr>
            </w:pPr>
            <w:r>
              <w:rPr>
                <w:sz w:val="16"/>
              </w:rPr>
              <w:t>Energy Margin ($/MWh)</w:t>
            </w:r>
          </w:p>
        </w:tc>
        <w:tc>
          <w:tcPr>
            <w:tcW w:w="1254"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r>
      <w:tr>
        <w:trPr>
          <w:trHeight w:val="435" w:hRule="atLeast"/>
        </w:trPr>
        <w:tc>
          <w:tcPr>
            <w:tcW w:w="2076" w:type="dxa"/>
            <w:tcBorders/>
          </w:tcPr>
          <w:p>
            <w:pPr>
              <w:pStyle w:val="TableText"/>
              <w:spacing w:before="36" w:after="36"/>
              <w:rPr>
                <w:sz w:val="16"/>
              </w:rPr>
            </w:pPr>
            <w:r>
              <w:rPr>
                <w:sz w:val="16"/>
              </w:rPr>
              <w:t>Capacity Factor for Market Price Period</w:t>
            </w:r>
          </w:p>
        </w:tc>
        <w:tc>
          <w:tcPr>
            <w:tcW w:w="1254"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r>
      <w:tr>
        <w:trPr>
          <w:trHeight w:val="435" w:hRule="atLeast"/>
        </w:trPr>
        <w:tc>
          <w:tcPr>
            <w:tcW w:w="2076" w:type="dxa"/>
            <w:tcBorders/>
          </w:tcPr>
          <w:p>
            <w:pPr>
              <w:pStyle w:val="TableText"/>
              <w:spacing w:before="36" w:after="36"/>
              <w:rPr>
                <w:sz w:val="16"/>
              </w:rPr>
            </w:pPr>
            <w:r>
              <w:rPr>
                <w:sz w:val="16"/>
              </w:rPr>
              <w:t>Variable O&amp;M Rate</w:t>
              <w:br/>
              <w:t>(2000 $/MWh)</w:t>
            </w:r>
          </w:p>
        </w:tc>
        <w:tc>
          <w:tcPr>
            <w:tcW w:w="1254"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3.00</w:t>
            </w:r>
          </w:p>
        </w:tc>
        <w:tc>
          <w:tcPr>
            <w:tcW w:w="1152" w:type="dxa"/>
            <w:tcBorders/>
          </w:tcPr>
          <w:p>
            <w:pPr>
              <w:pStyle w:val="TableText"/>
              <w:spacing w:before="36" w:after="36"/>
              <w:jc w:val="center"/>
              <w:rPr>
                <w:sz w:val="16"/>
              </w:rPr>
            </w:pPr>
            <w:r>
              <w:rPr>
                <w:sz w:val="16"/>
              </w:rPr>
              <w:t>2.00</w:t>
            </w:r>
          </w:p>
        </w:tc>
      </w:tr>
      <w:tr>
        <w:trPr>
          <w:trHeight w:val="435" w:hRule="atLeast"/>
        </w:trPr>
        <w:tc>
          <w:tcPr>
            <w:tcW w:w="2076" w:type="dxa"/>
            <w:tcBorders/>
          </w:tcPr>
          <w:p>
            <w:pPr>
              <w:pStyle w:val="TableText"/>
              <w:spacing w:before="36" w:after="36"/>
              <w:rPr>
                <w:sz w:val="16"/>
              </w:rPr>
            </w:pPr>
            <w:r>
              <w:rPr>
                <w:sz w:val="16"/>
              </w:rPr>
              <w:t>Fixed O&amp;M</w:t>
              <w:br/>
              <w:t>(2000 $000)</w:t>
            </w:r>
          </w:p>
        </w:tc>
        <w:tc>
          <w:tcPr>
            <w:tcW w:w="1254" w:type="dxa"/>
            <w:tcBorders/>
          </w:tcPr>
          <w:p>
            <w:pPr>
              <w:pStyle w:val="TableText"/>
              <w:spacing w:before="36" w:after="36"/>
              <w:jc w:val="center"/>
              <w:rPr>
                <w:sz w:val="16"/>
              </w:rPr>
            </w:pPr>
            <w:r>
              <w:rPr>
                <w:sz w:val="16"/>
              </w:rPr>
              <w:t>1,564</w:t>
            </w:r>
          </w:p>
        </w:tc>
        <w:tc>
          <w:tcPr>
            <w:tcW w:w="1152" w:type="dxa"/>
            <w:tcBorders/>
          </w:tcPr>
          <w:p>
            <w:pPr>
              <w:pStyle w:val="TableText"/>
              <w:spacing w:before="36" w:after="36"/>
              <w:jc w:val="center"/>
              <w:rPr>
                <w:sz w:val="16"/>
              </w:rPr>
            </w:pPr>
            <w:r>
              <w:rPr>
                <w:sz w:val="16"/>
              </w:rPr>
              <w:t>1,721</w:t>
            </w:r>
          </w:p>
        </w:tc>
        <w:tc>
          <w:tcPr>
            <w:tcW w:w="1152" w:type="dxa"/>
            <w:tcBorders/>
          </w:tcPr>
          <w:p>
            <w:pPr>
              <w:pStyle w:val="TableText"/>
              <w:spacing w:before="36" w:after="36"/>
              <w:jc w:val="center"/>
              <w:rPr>
                <w:sz w:val="16"/>
              </w:rPr>
            </w:pPr>
            <w:r>
              <w:rPr>
                <w:sz w:val="16"/>
              </w:rPr>
              <w:t>1,878</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1,242</w:t>
            </w:r>
          </w:p>
        </w:tc>
        <w:tc>
          <w:tcPr>
            <w:tcW w:w="1152" w:type="dxa"/>
            <w:tcBorders/>
          </w:tcPr>
          <w:p>
            <w:pPr>
              <w:pStyle w:val="TableText"/>
              <w:spacing w:before="36" w:after="36"/>
              <w:jc w:val="center"/>
              <w:rPr>
                <w:sz w:val="16"/>
              </w:rPr>
            </w:pPr>
            <w:r>
              <w:rPr>
                <w:sz w:val="16"/>
              </w:rPr>
              <w:t>1,516</w:t>
            </w:r>
          </w:p>
        </w:tc>
        <w:tc>
          <w:tcPr>
            <w:tcW w:w="1152" w:type="dxa"/>
            <w:tcBorders/>
          </w:tcPr>
          <w:p>
            <w:pPr>
              <w:pStyle w:val="TableText"/>
              <w:spacing w:before="36" w:after="36"/>
              <w:jc w:val="center"/>
              <w:rPr>
                <w:sz w:val="16"/>
              </w:rPr>
            </w:pPr>
            <w:r>
              <w:rPr>
                <w:sz w:val="16"/>
              </w:rPr>
              <w:t>1,449</w:t>
            </w:r>
          </w:p>
        </w:tc>
      </w:tr>
      <w:tr>
        <w:trPr>
          <w:trHeight w:val="435" w:hRule="atLeast"/>
        </w:trPr>
        <w:tc>
          <w:tcPr>
            <w:tcW w:w="2076" w:type="dxa"/>
            <w:tcBorders/>
          </w:tcPr>
          <w:p>
            <w:pPr>
              <w:pStyle w:val="TableText"/>
              <w:spacing w:before="36" w:after="36"/>
              <w:rPr/>
            </w:pPr>
            <w:r>
              <w:rPr>
                <w:sz w:val="16"/>
              </w:rPr>
              <w:t>Plant Net Heat Rate @ 90</w:t>
            </w:r>
            <w:r>
              <w:rPr>
                <w:sz w:val="16"/>
                <w:vertAlign w:val="superscript"/>
              </w:rPr>
              <w:t>0</w:t>
            </w:r>
            <w:r>
              <w:rPr>
                <w:sz w:val="16"/>
              </w:rPr>
              <w:t xml:space="preserve"> (HHV, Btu/kWh)</w:t>
            </w:r>
          </w:p>
        </w:tc>
        <w:tc>
          <w:tcPr>
            <w:tcW w:w="1254" w:type="dxa"/>
            <w:tcBorders/>
          </w:tcPr>
          <w:p>
            <w:pPr>
              <w:pStyle w:val="TableText"/>
              <w:spacing w:before="36" w:after="36"/>
              <w:jc w:val="center"/>
              <w:rPr>
                <w:sz w:val="16"/>
              </w:rPr>
            </w:pPr>
            <w:r>
              <w:rPr>
                <w:sz w:val="16"/>
              </w:rPr>
              <w:t>11,406</w:t>
            </w:r>
          </w:p>
        </w:tc>
        <w:tc>
          <w:tcPr>
            <w:tcW w:w="1152" w:type="dxa"/>
            <w:tcBorders/>
          </w:tcPr>
          <w:p>
            <w:pPr>
              <w:pStyle w:val="TableText"/>
              <w:spacing w:before="36" w:after="36"/>
              <w:jc w:val="center"/>
              <w:rPr>
                <w:sz w:val="16"/>
              </w:rPr>
            </w:pPr>
            <w:r>
              <w:rPr>
                <w:sz w:val="16"/>
              </w:rPr>
              <w:t>12,064</w:t>
            </w:r>
          </w:p>
        </w:tc>
        <w:tc>
          <w:tcPr>
            <w:tcW w:w="1152" w:type="dxa"/>
            <w:tcBorders/>
          </w:tcPr>
          <w:p>
            <w:pPr>
              <w:pStyle w:val="TableText"/>
              <w:spacing w:before="36" w:after="36"/>
              <w:jc w:val="center"/>
              <w:rPr>
                <w:sz w:val="16"/>
              </w:rPr>
            </w:pPr>
            <w:r>
              <w:rPr>
                <w:sz w:val="16"/>
              </w:rPr>
              <w:t>12,500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10,592</w:t>
            </w:r>
          </w:p>
        </w:tc>
        <w:tc>
          <w:tcPr>
            <w:tcW w:w="1152" w:type="dxa"/>
            <w:tcBorders/>
          </w:tcPr>
          <w:p>
            <w:pPr>
              <w:pStyle w:val="TableText"/>
              <w:spacing w:before="36" w:after="36"/>
              <w:jc w:val="center"/>
              <w:rPr>
                <w:sz w:val="16"/>
              </w:rPr>
            </w:pPr>
            <w:r>
              <w:rPr>
                <w:sz w:val="16"/>
              </w:rPr>
              <w:t>11,734</w:t>
            </w:r>
          </w:p>
        </w:tc>
        <w:tc>
          <w:tcPr>
            <w:tcW w:w="1152" w:type="dxa"/>
            <w:tcBorders/>
          </w:tcPr>
          <w:p>
            <w:pPr>
              <w:pStyle w:val="TableText"/>
              <w:spacing w:before="36" w:after="36"/>
              <w:jc w:val="center"/>
              <w:rPr>
                <w:sz w:val="16"/>
              </w:rPr>
            </w:pPr>
            <w:r>
              <w:rPr>
                <w:sz w:val="16"/>
              </w:rPr>
              <w:t>11,973</w:t>
            </w:r>
          </w:p>
        </w:tc>
      </w:tr>
      <w:tr>
        <w:trPr>
          <w:trHeight w:val="435" w:hRule="atLeast"/>
        </w:trPr>
        <w:tc>
          <w:tcPr>
            <w:tcW w:w="2076" w:type="dxa"/>
            <w:tcBorders>
              <w:bottom w:val="single" w:sz="4" w:space="0" w:color="000000"/>
            </w:tcBorders>
          </w:tcPr>
          <w:p>
            <w:pPr>
              <w:pStyle w:val="TableText"/>
              <w:spacing w:before="36" w:after="36"/>
              <w:ind w:firstLine="7" w:end="0"/>
              <w:rPr>
                <w:sz w:val="16"/>
              </w:rPr>
            </w:pPr>
            <w:r>
              <w:rPr>
                <w:sz w:val="16"/>
              </w:rPr>
              <w:t xml:space="preserve">Applicable State </w:t>
              <w:br/>
              <w:t>Income Tax Rate</w:t>
            </w:r>
          </w:p>
        </w:tc>
        <w:tc>
          <w:tcPr>
            <w:tcW w:w="1254" w:type="dxa"/>
            <w:tcBorders>
              <w:bottom w:val="single" w:sz="4" w:space="0" w:color="000000"/>
            </w:tcBorders>
          </w:tcPr>
          <w:p>
            <w:pPr>
              <w:pStyle w:val="TableText"/>
              <w:spacing w:before="36" w:after="36"/>
              <w:jc w:val="center"/>
              <w:rPr>
                <w:sz w:val="16"/>
              </w:rPr>
            </w:pPr>
            <w:r>
              <w:rPr>
                <w:sz w:val="16"/>
              </w:rPr>
              <w:t>6.00%</w:t>
            </w:r>
          </w:p>
        </w:tc>
        <w:tc>
          <w:tcPr>
            <w:tcW w:w="1152" w:type="dxa"/>
            <w:tcBorders>
              <w:bottom w:val="single" w:sz="4" w:space="0" w:color="000000"/>
            </w:tcBorders>
          </w:tcPr>
          <w:p>
            <w:pPr>
              <w:pStyle w:val="TableText"/>
              <w:spacing w:before="36" w:after="36"/>
              <w:jc w:val="center"/>
              <w:rPr>
                <w:sz w:val="16"/>
              </w:rPr>
            </w:pPr>
            <w:r>
              <w:rPr>
                <w:sz w:val="16"/>
              </w:rPr>
              <w:t>5.00%</w:t>
            </w:r>
          </w:p>
        </w:tc>
        <w:tc>
          <w:tcPr>
            <w:tcW w:w="1152" w:type="dxa"/>
            <w:tcBorders>
              <w:bottom w:val="single" w:sz="4" w:space="0" w:color="000000"/>
            </w:tcBorders>
          </w:tcPr>
          <w:p>
            <w:pPr>
              <w:pStyle w:val="TableText"/>
              <w:spacing w:before="36" w:after="36"/>
              <w:jc w:val="center"/>
              <w:rPr>
                <w:sz w:val="16"/>
              </w:rPr>
            </w:pPr>
            <w:r>
              <w:rPr>
                <w:sz w:val="16"/>
              </w:rPr>
              <w:t>5.00%</w:t>
            </w:r>
          </w:p>
        </w:tc>
        <w:tc>
          <w:tcPr>
            <w:tcW w:w="498" w:type="dxa"/>
            <w:tcBorders>
              <w:bottom w:val="single" w:sz="4" w:space="0" w:color="000000"/>
            </w:tcBorders>
          </w:tcPr>
          <w:p>
            <w:pPr>
              <w:pStyle w:val="TableText"/>
              <w:snapToGrid w:val="false"/>
              <w:spacing w:before="36" w:after="36"/>
              <w:jc w:val="center"/>
              <w:rPr>
                <w:sz w:val="16"/>
              </w:rPr>
            </w:pPr>
            <w:r>
              <w:rPr>
                <w:sz w:val="16"/>
              </w:rPr>
            </w:r>
          </w:p>
        </w:tc>
        <w:tc>
          <w:tcPr>
            <w:tcW w:w="1152" w:type="dxa"/>
            <w:tcBorders>
              <w:bottom w:val="single" w:sz="4" w:space="0" w:color="000000"/>
            </w:tcBorders>
          </w:tcPr>
          <w:p>
            <w:pPr>
              <w:pStyle w:val="TableText"/>
              <w:spacing w:before="36" w:after="36"/>
              <w:jc w:val="center"/>
              <w:rPr>
                <w:sz w:val="16"/>
              </w:rPr>
            </w:pPr>
            <w:r>
              <w:rPr>
                <w:sz w:val="16"/>
              </w:rPr>
              <w:t>6.00%</w:t>
            </w:r>
          </w:p>
        </w:tc>
        <w:tc>
          <w:tcPr>
            <w:tcW w:w="1152" w:type="dxa"/>
            <w:tcBorders>
              <w:bottom w:val="single" w:sz="4" w:space="0" w:color="000000"/>
            </w:tcBorders>
          </w:tcPr>
          <w:p>
            <w:pPr>
              <w:pStyle w:val="TableText"/>
              <w:spacing w:before="36" w:after="36"/>
              <w:jc w:val="center"/>
              <w:rPr>
                <w:sz w:val="16"/>
              </w:rPr>
            </w:pPr>
            <w:r>
              <w:rPr>
                <w:sz w:val="16"/>
              </w:rPr>
              <w:t>4.50%</w:t>
            </w:r>
          </w:p>
        </w:tc>
        <w:tc>
          <w:tcPr>
            <w:tcW w:w="1152" w:type="dxa"/>
            <w:tcBorders>
              <w:bottom w:val="single" w:sz="4" w:space="0" w:color="000000"/>
            </w:tcBorders>
          </w:tcPr>
          <w:p>
            <w:pPr>
              <w:pStyle w:val="TableText"/>
              <w:spacing w:before="36" w:after="36"/>
              <w:jc w:val="center"/>
              <w:rPr>
                <w:sz w:val="16"/>
              </w:rPr>
            </w:pPr>
            <w:r>
              <w:rPr>
                <w:sz w:val="16"/>
              </w:rPr>
              <w:t>7.18%</w:t>
            </w:r>
          </w:p>
        </w:tc>
      </w:tr>
    </w:tbl>
    <w:p>
      <w:pPr>
        <w:pStyle w:val="Caption"/>
        <w:numPr>
          <w:ilvl w:val="0"/>
          <w:numId w:val="5"/>
        </w:numPr>
        <w:tabs>
          <w:tab w:val="clear" w:pos="720"/>
          <w:tab w:val="left" w:pos="630" w:leader="none"/>
        </w:tabs>
        <w:ind w:hanging="0" w:start="0"/>
        <w:rPr/>
      </w:pPr>
      <w:r>
        <w:rPr/>
        <w:t>Includes additional capacity of 20 MW at Caledonia and 15 MW at New Albany, with installation of evaporative coolers by June 2000.</w:t>
      </w:r>
    </w:p>
    <w:p>
      <w:pPr>
        <w:pStyle w:val="Caption"/>
        <w:numPr>
          <w:ilvl w:val="0"/>
          <w:numId w:val="0"/>
        </w:numPr>
        <w:tabs>
          <w:tab w:val="clear" w:pos="720"/>
          <w:tab w:val="left" w:pos="630" w:leader="none"/>
        </w:tabs>
        <w:ind w:hanging="0" w:start="270" w:end="0"/>
        <w:rPr/>
      </w:pPr>
      <w:r>
        <w:rPr/>
      </w:r>
    </w:p>
    <w:p>
      <w:pPr>
        <w:pStyle w:val="Sub0n"/>
        <w:numPr>
          <w:ilvl w:val="0"/>
          <w:numId w:val="2"/>
        </w:numPr>
        <w:rPr/>
      </w:pPr>
      <w:r>
        <w:rPr/>
        <w:t>Capital Costs</w:t>
      </w:r>
    </w:p>
    <w:p>
      <w:pPr>
        <w:pStyle w:val="A0"/>
        <w:rPr/>
      </w:pPr>
      <w:r>
        <w:rPr/>
        <w:t>The financial model allocates the Plants’ total capital costs (debt plus equity) to the 1999 Plants and the 2000 Plants at 42% and 58%, respectively.</w:t>
      </w:r>
    </w:p>
    <w:p>
      <w:pPr>
        <w:pStyle w:val="Sub0n"/>
        <w:tabs>
          <w:tab w:val="clear" w:pos="720"/>
          <w:tab w:val="left" w:pos="1440" w:leader="none"/>
        </w:tabs>
        <w:ind w:hanging="720" w:start="1440" w:end="0"/>
        <w:rPr>
          <w:b w:val="false"/>
        </w:rPr>
      </w:pPr>
      <w:r>
        <w:rPr/>
        <w:t>B.</w:t>
        <w:tab/>
        <w:t>Revenue Assumptions</w:t>
      </w:r>
    </w:p>
    <w:p>
      <w:pPr>
        <w:pStyle w:val="A0"/>
        <w:rPr/>
      </w:pPr>
      <w:r>
        <w:rPr/>
        <w:t>In calculating revenue, the financial model incorporates the terms of the PPAs and market price projections from ICF Resources’ (“ICF”) market report.</w:t>
      </w:r>
    </w:p>
    <w:p>
      <w:pPr>
        <w:pStyle w:val="Sub0n"/>
        <w:ind w:hanging="720" w:start="1440" w:end="0"/>
        <w:rPr/>
      </w:pPr>
      <w:r>
        <w:rPr/>
        <w:t>1.</w:t>
        <w:tab/>
        <w:t>Fixed Price Period Operating Revenue Assumptions</w:t>
      </w:r>
    </w:p>
    <w:p>
      <w:pPr>
        <w:pStyle w:val="A0"/>
        <w:keepNext w:val="true"/>
        <w:rPr/>
      </w:pPr>
      <w:r>
        <w:rPr/>
        <w:t>The fixed price period extends from Jan 1</w:t>
      </w:r>
      <w:r>
        <w:rPr>
          <w:vertAlign w:val="superscript"/>
        </w:rPr>
        <w:t>st</w:t>
      </w:r>
      <w:r>
        <w:rPr/>
        <w:t>, 2001 through December 31, 2003 for all 6 Plants.</w:t>
      </w:r>
    </w:p>
    <w:p>
      <w:pPr>
        <w:pStyle w:val="A0b"/>
        <w:numPr>
          <w:ilvl w:val="0"/>
          <w:numId w:val="3"/>
        </w:numPr>
        <w:ind w:hanging="360" w:start="1800" w:end="0"/>
        <w:rPr>
          <w:b/>
        </w:rPr>
      </w:pPr>
      <w:r>
        <w:rPr>
          <w:b/>
        </w:rPr>
        <w:t>Demand Payments.</w:t>
      </w:r>
      <w:r>
        <w:rPr/>
        <w:t xml:space="preserve">  ENA pays the Demand Payments, based on a fixed Demand Charge Rate of $4.00 per kilowatt-month, and calculated as follows:</w:t>
      </w:r>
    </w:p>
    <w:p>
      <w:pPr>
        <w:pStyle w:val="BodyTextIndent2"/>
        <w:spacing w:before="120" w:after="0"/>
        <w:ind w:hanging="1823" w:start="4257" w:end="0"/>
        <w:rPr/>
      </w:pPr>
      <w:r>
        <w:rPr/>
        <w:t xml:space="preserve">Demand Payments = </w:t>
      </w:r>
      <w:r>
        <w:rPr>
          <w:i/>
        </w:rPr>
        <w:t>$4.00</w:t>
      </w:r>
      <w:r>
        <w:rPr/>
        <w:t xml:space="preserve"> x </w:t>
      </w:r>
      <w:r>
        <w:rPr>
          <w:i/>
        </w:rPr>
        <w:t>Contractual PPA Capacity</w:t>
      </w:r>
      <w:r>
        <w:rPr/>
        <w:t xml:space="preserve"> x </w:t>
      </w:r>
      <w:r>
        <w:rPr>
          <w:i/>
        </w:rPr>
        <w:t>12 months</w:t>
      </w:r>
    </w:p>
    <w:p>
      <w:pPr>
        <w:pStyle w:val="A0b"/>
        <w:numPr>
          <w:ilvl w:val="0"/>
          <w:numId w:val="3"/>
        </w:numPr>
        <w:ind w:hanging="360" w:start="1800" w:end="0"/>
        <w:rPr>
          <w:b/>
        </w:rPr>
      </w:pPr>
      <w:r>
        <w:rPr>
          <w:b/>
        </w:rPr>
        <w:t>Energy Payments.</w:t>
      </w:r>
      <w:r>
        <w:rPr/>
        <w:t xml:space="preserve">  Enron pays the Energy Payments which are calculated as follows:</w:t>
      </w:r>
    </w:p>
    <w:p>
      <w:pPr>
        <w:pStyle w:val="BodyTextIndent2"/>
        <w:spacing w:before="120" w:after="0"/>
        <w:ind w:hanging="1796" w:start="4230" w:end="0"/>
        <w:rPr/>
      </w:pPr>
      <w:r>
        <w:rPr/>
        <w:t xml:space="preserve">Energy Payments = </w:t>
      </w:r>
      <w:r>
        <w:rPr>
          <w:i/>
        </w:rPr>
        <w:t>Energy Charge</w:t>
      </w:r>
      <w:r>
        <w:rPr/>
        <w:t xml:space="preserve"> x </w:t>
      </w:r>
      <w:r>
        <w:rPr>
          <w:i/>
        </w:rPr>
        <w:t>Annual Generation</w:t>
      </w:r>
    </w:p>
    <w:p>
      <w:pPr>
        <w:pStyle w:val="BodyTextIndent2"/>
        <w:spacing w:before="120" w:after="0"/>
        <w:ind w:start="1800" w:end="0"/>
        <w:rPr>
          <w:b/>
        </w:rPr>
      </w:pPr>
      <w:r>
        <w:rPr/>
        <w:t>Energy Charges are inflated at 3% per annum.</w:t>
      </w:r>
    </w:p>
    <w:p>
      <w:pPr>
        <w:pStyle w:val="A0b"/>
        <w:numPr>
          <w:ilvl w:val="0"/>
          <w:numId w:val="3"/>
        </w:numPr>
        <w:ind w:hanging="360" w:start="1800" w:end="0"/>
        <w:rPr>
          <w:b/>
        </w:rPr>
      </w:pPr>
      <w:r>
        <w:rPr>
          <w:b/>
        </w:rPr>
        <w:t>Block Payments.</w:t>
      </w:r>
      <w:r>
        <w:rPr/>
        <w:t xml:space="preserve">  Enron pays the Block Payments which are defined as follows: </w:t>
      </w:r>
    </w:p>
    <w:p>
      <w:pPr>
        <w:pStyle w:val="BodyTextIndent2"/>
        <w:spacing w:before="120" w:after="0"/>
        <w:ind w:hanging="1656" w:start="4090" w:end="0"/>
        <w:rPr/>
      </w:pPr>
      <w:r>
        <w:rPr/>
        <w:t xml:space="preserve">Block Payments = </w:t>
      </w:r>
      <w:r>
        <w:rPr>
          <w:i/>
        </w:rPr>
        <w:t>Block Charge</w:t>
      </w:r>
      <w:r>
        <w:rPr/>
        <w:t xml:space="preserve"> x </w:t>
      </w:r>
      <w:r>
        <w:rPr>
          <w:i/>
        </w:rPr>
        <w:t>Actual Annual Number of Starts</w:t>
      </w:r>
      <w:r>
        <w:rPr/>
        <w:t xml:space="preserve"> x </w:t>
      </w:r>
      <w:r>
        <w:rPr>
          <w:i/>
        </w:rPr>
        <w:t>Number of Turbines</w:t>
      </w:r>
    </w:p>
    <w:p>
      <w:pPr>
        <w:pStyle w:val="BodyTextIndent2"/>
        <w:spacing w:before="120" w:after="0"/>
        <w:ind w:start="1800" w:end="0"/>
        <w:rPr/>
      </w:pPr>
      <w:r>
        <w:rPr/>
        <w:t xml:space="preserve">Block Charges escalate at 3% per annum. </w:t>
      </w:r>
    </w:p>
    <w:p>
      <w:pPr>
        <w:pStyle w:val="Sub0n"/>
        <w:ind w:hanging="720" w:start="1440" w:end="0"/>
        <w:rPr/>
      </w:pPr>
      <w:r>
        <w:rPr/>
        <w:t>2.</w:t>
        <w:tab/>
        <w:t>Market Price Period Operating Revenue Assumptions</w:t>
      </w:r>
    </w:p>
    <w:p>
      <w:pPr>
        <w:pStyle w:val="A0"/>
        <w:rPr/>
      </w:pPr>
      <w:r>
        <w:rPr/>
        <w:t>Per the PPAs, the market price period extends from January 1</w:t>
      </w:r>
      <w:r>
        <w:rPr>
          <w:vertAlign w:val="superscript"/>
        </w:rPr>
        <w:t>st</w:t>
      </w:r>
      <w:r>
        <w:rPr/>
        <w:t>, 2004 through December 31</w:t>
      </w:r>
      <w:r>
        <w:rPr>
          <w:vertAlign w:val="superscript"/>
        </w:rPr>
        <w:t>st</w:t>
      </w:r>
      <w:r>
        <w:rPr/>
        <w:t xml:space="preserve">, 2020 for all the 6 Plants.  ENA and/or third parties will pay market-based Demand Payments, Variable Revenues and Energy Margins for each Plant. </w:t>
      </w:r>
    </w:p>
    <w:p>
      <w:pPr>
        <w:pStyle w:val="A0"/>
        <w:rPr/>
      </w:pPr>
      <w:r>
        <w:rPr/>
        <w:t xml:space="preserve">Market capacity prices for the Plants have been independently assessed by ICF.  ICF has provided three capacity price forward curves for the Plants: the TVA curve for the Caledonia, New Albany, Brownsville and Gleason Plants; the Com Ed curve for the Wilton Center Plant; and the Southern ECAR curve for the Wheatland Plant.  The model adjusts ICF’s real capacity price projections to nominal values utilizing an inflation factor of 3%. </w:t>
      </w:r>
    </w:p>
    <w:p>
      <w:pPr>
        <w:pStyle w:val="A0b"/>
        <w:numPr>
          <w:ilvl w:val="0"/>
          <w:numId w:val="3"/>
        </w:numPr>
        <w:ind w:hanging="360" w:start="1800" w:end="0"/>
        <w:rPr/>
      </w:pPr>
      <w:r>
        <w:rPr>
          <w:b/>
        </w:rPr>
        <w:t>Demand Payments.</w:t>
      </w:r>
      <w:r>
        <w:rPr/>
        <w:t xml:space="preserve">  Demand Payments are determined as follows:</w:t>
      </w:r>
    </w:p>
    <w:p>
      <w:pPr>
        <w:pStyle w:val="BodyTextIndent2"/>
        <w:spacing w:before="120" w:after="0"/>
        <w:ind w:hanging="1976" w:start="4410" w:end="0"/>
        <w:rPr/>
      </w:pPr>
      <w:r>
        <w:rPr/>
        <w:t xml:space="preserve">Demand Payments = </w:t>
      </w:r>
      <w:r>
        <w:rPr>
          <w:i/>
        </w:rPr>
        <w:t>Contractual PPA Capacity</w:t>
      </w:r>
      <w:r>
        <w:rPr/>
        <w:t xml:space="preserve"> x </w:t>
      </w:r>
      <w:r>
        <w:rPr>
          <w:i/>
        </w:rPr>
        <w:t xml:space="preserve">ICF Base Case Capacity Price </w:t>
      </w:r>
      <w:r>
        <w:rPr/>
        <w:t xml:space="preserve">x </w:t>
      </w:r>
      <w:r>
        <w:rPr>
          <w:i/>
        </w:rPr>
        <w:t>12 months</w:t>
      </w:r>
    </w:p>
    <w:p>
      <w:pPr>
        <w:pStyle w:val="BodyTextIndent2"/>
        <w:spacing w:before="120" w:after="0"/>
        <w:ind w:start="1800" w:end="0"/>
        <w:rPr/>
      </w:pPr>
      <w:r>
        <w:rPr/>
        <w:t>ICF Base Case Capacity Prices are listed in the table below.</w:t>
      </w:r>
    </w:p>
    <w:p>
      <w:pPr>
        <w:pStyle w:val="Normal"/>
        <w:rPr>
          <w:rFonts w:ascii="Arial" w:hAnsi="Arial" w:cs="Arial"/>
        </w:rPr>
      </w:pPr>
      <w:r>
        <w:rPr>
          <w:rFonts w:cs="Arial" w:ascii="Arial" w:hAnsi="Arial"/>
        </w:rPr>
      </w:r>
      <w:r>
        <w:br w:type="page"/>
      </w:r>
    </w:p>
    <w:p>
      <w:pPr>
        <w:pStyle w:val="Ttl0"/>
        <w:keepNext w:val="true"/>
        <w:rPr>
          <w:sz w:val="24"/>
        </w:rPr>
      </w:pPr>
      <w:r>
        <w:rPr>
          <w:sz w:val="24"/>
        </w:rPr>
        <w:t>ICF Base Case Capacity Prices</w:t>
      </w:r>
    </w:p>
    <w:p>
      <w:pPr>
        <w:pStyle w:val="Tsl0"/>
        <w:spacing w:before="0" w:after="40"/>
        <w:rPr/>
      </w:pPr>
      <w:r>
        <w:rPr/>
        <w:t>(Nominal $ / kW–month)</w:t>
      </w:r>
    </w:p>
    <w:tbl>
      <w:tblPr>
        <w:tblW w:w="9600" w:type="dxa"/>
        <w:jc w:val="start"/>
        <w:tblInd w:w="0" w:type="dxa"/>
        <w:tblLayout w:type="fixed"/>
        <w:tblCellMar>
          <w:top w:w="0" w:type="dxa"/>
          <w:start w:w="0" w:type="dxa"/>
          <w:bottom w:w="0" w:type="dxa"/>
          <w:end w:w="0" w:type="dxa"/>
        </w:tblCellMar>
      </w:tblPr>
      <w:tblGrid>
        <w:gridCol w:w="1440"/>
        <w:gridCol w:w="480"/>
        <w:gridCol w:w="480"/>
        <w:gridCol w:w="480"/>
        <w:gridCol w:w="480"/>
        <w:gridCol w:w="480"/>
        <w:gridCol w:w="480"/>
        <w:gridCol w:w="480"/>
        <w:gridCol w:w="480"/>
        <w:gridCol w:w="480"/>
        <w:gridCol w:w="480"/>
        <w:gridCol w:w="480"/>
        <w:gridCol w:w="480"/>
        <w:gridCol w:w="480"/>
        <w:gridCol w:w="480"/>
        <w:gridCol w:w="480"/>
        <w:gridCol w:w="480"/>
        <w:gridCol w:w="480"/>
      </w:tblGrid>
      <w:tr>
        <w:trPr/>
        <w:tc>
          <w:tcPr>
            <w:tcW w:w="1440" w:type="dxa"/>
            <w:tcBorders>
              <w:top w:val="single" w:sz="18" w:space="0" w:color="000000"/>
              <w:bottom w:val="single" w:sz="6" w:space="0" w:color="000000"/>
            </w:tcBorders>
          </w:tcPr>
          <w:p>
            <w:pPr>
              <w:pStyle w:val="Normal"/>
              <w:snapToGrid w:val="false"/>
              <w:spacing w:before="36" w:after="36"/>
              <w:rPr>
                <w:rFonts w:ascii="Arial" w:hAnsi="Arial" w:cs="Arial"/>
                <w:caps/>
                <w:sz w:val="14"/>
              </w:rPr>
            </w:pPr>
            <w:r>
              <w:rPr>
                <w:rFonts w:cs="Arial" w:ascii="Arial" w:hAnsi="Arial"/>
                <w:caps/>
                <w:sz w:val="14"/>
              </w:rPr>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2007</w:t>
            </w:r>
          </w:p>
        </w:tc>
        <w:tc>
          <w:tcPr>
            <w:tcW w:w="480" w:type="dxa"/>
            <w:tcBorders>
              <w:top w:val="single" w:sz="18" w:space="0" w:color="000000"/>
              <w:bottom w:val="single" w:sz="6" w:space="0" w:color="000000"/>
            </w:tcBorders>
          </w:tcPr>
          <w:p>
            <w:pPr>
              <w:pStyle w:val="TableHeadings"/>
              <w:tabs>
                <w:tab w:val="clear" w:pos="720"/>
                <w:tab w:val="decimal" w:pos="54" w:leader="none"/>
              </w:tabs>
              <w:spacing w:before="36" w:after="36"/>
              <w:rPr>
                <w:sz w:val="14"/>
              </w:rPr>
            </w:pPr>
            <w:r>
              <w:rPr>
                <w:sz w:val="14"/>
              </w:rPr>
              <w:t>2008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2010</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2011</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2012</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2013</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2017</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2020</w:t>
            </w:r>
          </w:p>
        </w:tc>
      </w:tr>
      <w:tr>
        <w:trPr/>
        <w:tc>
          <w:tcPr>
            <w:tcW w:w="1440" w:type="dxa"/>
            <w:tcBorders/>
          </w:tcPr>
          <w:p>
            <w:pPr>
              <w:pStyle w:val="Normal"/>
              <w:spacing w:before="216" w:after="36"/>
              <w:rPr>
                <w:rFonts w:ascii="Arial" w:hAnsi="Arial" w:cs="Arial"/>
                <w:sz w:val="16"/>
              </w:rPr>
            </w:pPr>
            <w:r>
              <w:rPr>
                <w:rFonts w:cs="Arial" w:ascii="Arial" w:hAnsi="Arial"/>
                <w:sz w:val="16"/>
              </w:rPr>
              <w:t>TVA</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6.42</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6.74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6.82</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6.91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7.00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7.09</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7.18</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7.32</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7.46</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7.60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7.74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7.89</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8.00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8.11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8.23</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8.35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8.47</w:t>
            </w:r>
          </w:p>
        </w:tc>
      </w:tr>
      <w:tr>
        <w:trPr/>
        <w:tc>
          <w:tcPr>
            <w:tcW w:w="1440" w:type="dxa"/>
            <w:tcBorders/>
          </w:tcPr>
          <w:p>
            <w:pPr>
              <w:pStyle w:val="Normal"/>
              <w:spacing w:before="216" w:after="36"/>
              <w:rPr>
                <w:rFonts w:ascii="Arial" w:hAnsi="Arial" w:cs="Arial"/>
                <w:sz w:val="16"/>
              </w:rPr>
            </w:pPr>
            <w:r>
              <w:rPr>
                <w:rFonts w:cs="Arial" w:ascii="Arial" w:hAnsi="Arial"/>
                <w:sz w:val="16"/>
              </w:rPr>
              <w:t xml:space="preserve">Southern ECAR </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6.84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7.13</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7.27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7.42</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7.57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7.73</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7.88</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8.01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8.14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8.28</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8.41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8.55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8.65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8.75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8.85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8.95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9.06</w:t>
            </w:r>
          </w:p>
        </w:tc>
      </w:tr>
      <w:tr>
        <w:trPr/>
        <w:tc>
          <w:tcPr>
            <w:tcW w:w="1440" w:type="dxa"/>
            <w:tcBorders>
              <w:bottom w:val="single" w:sz="4" w:space="0" w:color="000000"/>
            </w:tcBorders>
          </w:tcPr>
          <w:p>
            <w:pPr>
              <w:pStyle w:val="Normal"/>
              <w:spacing w:before="216" w:after="36"/>
              <w:rPr>
                <w:rFonts w:ascii="Arial" w:hAnsi="Arial" w:cs="Arial"/>
                <w:sz w:val="16"/>
              </w:rPr>
            </w:pPr>
            <w:r>
              <w:rPr>
                <w:rFonts w:cs="Arial" w:ascii="Arial" w:hAnsi="Arial"/>
                <w:sz w:val="16"/>
              </w:rPr>
              <w:t>Com Ed</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6.70</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7.01</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7.15</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7.30</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7.45</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7.60</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7.75</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7.90</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8.06</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8.21</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8.38</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8.54</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8.67</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8.81</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8.94</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9.08</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9.22</w:t>
            </w:r>
          </w:p>
        </w:tc>
      </w:tr>
    </w:tbl>
    <w:p>
      <w:pPr>
        <w:pStyle w:val="A0b"/>
        <w:numPr>
          <w:ilvl w:val="0"/>
          <w:numId w:val="0"/>
        </w:numPr>
        <w:ind w:hanging="0" w:start="1800" w:end="0"/>
        <w:rPr/>
      </w:pPr>
      <w:r>
        <w:rPr/>
      </w:r>
    </w:p>
    <w:p>
      <w:pPr>
        <w:pStyle w:val="A0b"/>
        <w:numPr>
          <w:ilvl w:val="0"/>
          <w:numId w:val="3"/>
        </w:numPr>
        <w:ind w:hanging="0" w:start="0"/>
        <w:rPr>
          <w:b/>
        </w:rPr>
      </w:pPr>
      <w:r>
        <w:rPr>
          <w:b/>
        </w:rPr>
        <w:t>Variable Revenues.</w:t>
      </w:r>
      <w:r>
        <w:rPr/>
        <w:t xml:space="preserve">  Variable Revenues are calculated as follows:</w:t>
      </w:r>
    </w:p>
    <w:p>
      <w:pPr>
        <w:pStyle w:val="BodyTextIndent2"/>
        <w:spacing w:before="120" w:after="0"/>
        <w:ind w:hanging="1980" w:start="4860" w:end="0"/>
        <w:rPr/>
      </w:pPr>
      <w:r>
        <w:rPr/>
        <w:t>Variable Revenues = [</w:t>
      </w:r>
      <w:r>
        <w:rPr>
          <w:i/>
        </w:rPr>
        <w:t>(1/3)</w:t>
      </w:r>
      <w:r>
        <w:rPr/>
        <w:t xml:space="preserve"> x </w:t>
      </w:r>
      <w:r>
        <w:rPr>
          <w:i/>
        </w:rPr>
        <w:t>Block Charge</w:t>
      </w:r>
      <w:r>
        <w:rPr/>
        <w:t xml:space="preserve"> x </w:t>
      </w:r>
      <w:r>
        <w:rPr>
          <w:i/>
        </w:rPr>
        <w:t>Assumed Starts Per Year</w:t>
      </w:r>
      <w:r>
        <w:rPr/>
        <w:t xml:space="preserve"> x </w:t>
      </w:r>
      <w:r>
        <w:rPr>
          <w:i/>
        </w:rPr>
        <w:t>Number of Turbines</w:t>
      </w:r>
      <w:r>
        <w:rPr/>
        <w:t>] + [</w:t>
      </w:r>
      <w:r>
        <w:rPr>
          <w:i/>
        </w:rPr>
        <w:t>Energy Charge</w:t>
      </w:r>
      <w:r>
        <w:rPr/>
        <w:t xml:space="preserve"> x </w:t>
      </w:r>
      <w:r>
        <w:rPr>
          <w:i/>
        </w:rPr>
        <w:t>Annual Capacity</w:t>
      </w:r>
      <w:r>
        <w:rPr/>
        <w:t>]</w:t>
      </w:r>
    </w:p>
    <w:p>
      <w:pPr>
        <w:pStyle w:val="BodyTextIndent2"/>
        <w:spacing w:before="120" w:after="0"/>
        <w:ind w:start="2880" w:end="0"/>
        <w:rPr/>
      </w:pPr>
      <w:r>
        <w:rPr/>
        <w:t>Only a third of the Block Charges are additional revenues, as ICF’s capacity price projections have 2/3 of the value of major maintenance costs embedded as a fixed value.  Block Charges are inflated at 3% per annum.</w:t>
      </w:r>
    </w:p>
    <w:p>
      <w:pPr>
        <w:pStyle w:val="BodyTextIndent2"/>
        <w:spacing w:before="120" w:after="0"/>
        <w:ind w:start="2880" w:end="0"/>
        <w:rPr/>
      </w:pPr>
      <w:r>
        <w:rPr/>
        <w:t>Energy Charges are escalated at 3% per annum.</w:t>
      </w:r>
    </w:p>
    <w:p>
      <w:pPr>
        <w:pStyle w:val="A0b"/>
        <w:numPr>
          <w:ilvl w:val="0"/>
          <w:numId w:val="3"/>
        </w:numPr>
        <w:ind w:hanging="0" w:start="0"/>
        <w:rPr>
          <w:b/>
        </w:rPr>
      </w:pPr>
      <w:r>
        <w:rPr>
          <w:b/>
        </w:rPr>
        <w:t>Energy Margins.</w:t>
      </w:r>
      <w:r>
        <w:rPr/>
        <w:t xml:space="preserve">  Energy Margins are calculated as follows:</w:t>
      </w:r>
    </w:p>
    <w:p>
      <w:pPr>
        <w:pStyle w:val="BodyTextIndent2"/>
        <w:spacing w:before="120" w:after="0"/>
        <w:ind w:hanging="1620" w:start="4500" w:end="0"/>
        <w:rPr/>
      </w:pPr>
      <w:r>
        <w:rPr/>
        <w:t xml:space="preserve">Energy Margins = </w:t>
      </w:r>
      <w:r>
        <w:rPr>
          <w:i/>
        </w:rPr>
        <w:t xml:space="preserve">Contractual Capacity </w:t>
      </w:r>
      <w:r>
        <w:rPr/>
        <w:t xml:space="preserve">x </w:t>
      </w:r>
      <w:r>
        <w:rPr>
          <w:i/>
        </w:rPr>
        <w:t>Market Price Period Energy Margin</w:t>
      </w:r>
      <w:r>
        <w:rPr/>
        <w:t xml:space="preserve"> x </w:t>
      </w:r>
      <w:r>
        <w:rPr>
          <w:i/>
        </w:rPr>
        <w:t>Capacity Factor for Market Price Period Energy Margin</w:t>
      </w:r>
      <w:r>
        <w:rPr/>
        <w:t xml:space="preserve"> x </w:t>
      </w:r>
      <w:r>
        <w:rPr>
          <w:i/>
        </w:rPr>
        <w:t>Annual Operating Hours</w:t>
      </w:r>
    </w:p>
    <w:p>
      <w:pPr>
        <w:pStyle w:val="BodyTextIndent2"/>
        <w:spacing w:before="120" w:after="0"/>
        <w:ind w:start="2880" w:end="0"/>
        <w:rPr/>
      </w:pPr>
      <w:r>
        <w:rPr/>
        <w:t>The Energy Margin is assumed to be $1/MWh and is not escalated.</w:t>
      </w:r>
    </w:p>
    <w:p>
      <w:pPr>
        <w:pStyle w:val="Sub0n"/>
        <w:ind w:hanging="720" w:start="1440" w:end="0"/>
        <w:rPr/>
      </w:pPr>
      <w:r>
        <w:rPr/>
        <w:t>3.</w:t>
        <w:tab/>
        <w:t xml:space="preserve">Interest Income </w:t>
      </w:r>
    </w:p>
    <w:p>
      <w:pPr>
        <w:pStyle w:val="A0"/>
        <w:rPr/>
      </w:pPr>
      <w:r>
        <w:rPr/>
        <w:t>Interest income on cash balances, based on 25% of annual EBITDA, has been included in the revenues.  The model assumes an interest rate of 5% per annum.</w:t>
      </w:r>
    </w:p>
    <w:p>
      <w:pPr>
        <w:pStyle w:val="Sub0n"/>
        <w:ind w:hanging="720" w:start="1440" w:end="0"/>
        <w:rPr>
          <w:b w:val="false"/>
        </w:rPr>
      </w:pPr>
      <w:r>
        <w:rPr/>
        <w:t>C.</w:t>
        <w:tab/>
        <w:t>Operating Costs Assumptions</w:t>
      </w:r>
    </w:p>
    <w:p>
      <w:pPr>
        <w:pStyle w:val="A0b"/>
        <w:numPr>
          <w:ilvl w:val="0"/>
          <w:numId w:val="3"/>
        </w:numPr>
        <w:ind w:hanging="360" w:start="1800" w:end="0"/>
        <w:rPr>
          <w:b/>
        </w:rPr>
      </w:pPr>
      <w:r>
        <w:rPr>
          <w:b/>
        </w:rPr>
        <w:t>Fixed O&amp;M.</w:t>
      </w:r>
      <w:r>
        <w:rPr/>
        <w:t xml:space="preserve">  Fixed O&amp;M includes payroll expenses and other fixed O&amp;M expenses. The amount of annual fixed O&amp;M is approximately $5.2 million for the 1999 Plants and $4.2 million for the 2000 Plants ($ 2000).  Both are inflated at 3% per annum.</w:t>
      </w:r>
    </w:p>
    <w:p>
      <w:pPr>
        <w:pStyle w:val="A0b"/>
        <w:numPr>
          <w:ilvl w:val="0"/>
          <w:numId w:val="3"/>
        </w:numPr>
        <w:ind w:hanging="360" w:start="1800" w:end="0"/>
        <w:rPr>
          <w:b/>
        </w:rPr>
      </w:pPr>
      <w:r>
        <w:rPr>
          <w:b/>
        </w:rPr>
        <w:t>Variable O&amp;M.</w:t>
      </w:r>
      <w:r>
        <w:rPr/>
        <w:t xml:space="preserve">  Variable O&amp;M expenses include water costs and variable maintenance expenditures, and are calculated as follows:</w:t>
      </w:r>
    </w:p>
    <w:p>
      <w:pPr>
        <w:pStyle w:val="Normal"/>
        <w:spacing w:before="120" w:after="0"/>
        <w:ind w:hanging="1620" w:start="4500" w:end="0"/>
        <w:rPr/>
      </w:pPr>
      <w:r>
        <w:rPr>
          <w:rFonts w:cs="Arial" w:ascii="Arial" w:hAnsi="Arial"/>
        </w:rPr>
        <w:t xml:space="preserve">Variable O&amp;M = </w:t>
      </w:r>
      <w:r>
        <w:rPr>
          <w:rFonts w:cs="Arial" w:ascii="Arial" w:hAnsi="Arial"/>
          <w:i/>
        </w:rPr>
        <w:t xml:space="preserve">Variable O&amp;M Rate </w:t>
      </w:r>
      <w:r>
        <w:rPr>
          <w:rFonts w:cs="Arial" w:ascii="Arial" w:hAnsi="Arial"/>
        </w:rPr>
        <w:t xml:space="preserve">x </w:t>
      </w:r>
      <w:r>
        <w:rPr>
          <w:rFonts w:cs="Arial" w:ascii="Arial" w:hAnsi="Arial"/>
          <w:i/>
        </w:rPr>
        <w:t>Annual Generation</w:t>
      </w:r>
    </w:p>
    <w:p>
      <w:pPr>
        <w:pStyle w:val="A0"/>
        <w:spacing w:before="120" w:after="0"/>
        <w:ind w:start="1800" w:end="0"/>
        <w:rPr/>
      </w:pPr>
      <w:r>
        <w:rPr/>
        <w:t>Variable O&amp;M per unit is inflated at 3% per annum.</w:t>
      </w:r>
    </w:p>
    <w:p>
      <w:pPr>
        <w:pStyle w:val="A0b"/>
        <w:numPr>
          <w:ilvl w:val="0"/>
          <w:numId w:val="3"/>
        </w:numPr>
        <w:ind w:hanging="360" w:start="1800" w:end="0"/>
        <w:rPr>
          <w:b/>
        </w:rPr>
      </w:pPr>
      <w:r>
        <w:rPr>
          <w:b/>
        </w:rPr>
        <w:t xml:space="preserve">Major Maintenance.  </w:t>
      </w:r>
      <w:r>
        <w:rPr/>
        <w:t>The model assumes an annual major maintenance expense of approximately $1.35 million for the 1999 Plants and $1.39 million for the 2000 Plants ($ 2000), assuming 75 starts/year.  Major maintenance expenditures are inflated at 3% per annum.</w:t>
      </w:r>
    </w:p>
    <w:p>
      <w:pPr>
        <w:pStyle w:val="A0b"/>
        <w:numPr>
          <w:ilvl w:val="0"/>
          <w:numId w:val="3"/>
        </w:numPr>
        <w:ind w:hanging="360" w:start="1800" w:end="0"/>
        <w:rPr>
          <w:b/>
        </w:rPr>
      </w:pPr>
      <w:r>
        <w:rPr>
          <w:b/>
        </w:rPr>
        <w:t>O&amp;M Fee.</w:t>
      </w:r>
      <w:r>
        <w:rPr/>
        <w:t xml:space="preserve">  The O&amp;M fee is a contracted annual amount of $1.7 million ($ 2000) for the Plants, inflated at 3% per annum.</w:t>
      </w:r>
    </w:p>
    <w:p>
      <w:pPr>
        <w:pStyle w:val="A0b"/>
        <w:numPr>
          <w:ilvl w:val="0"/>
          <w:numId w:val="3"/>
        </w:numPr>
        <w:ind w:hanging="360" w:start="1800" w:end="0"/>
        <w:rPr>
          <w:b/>
        </w:rPr>
      </w:pPr>
      <w:r>
        <w:rPr>
          <w:b/>
        </w:rPr>
        <w:t>Owner’s Expense.</w:t>
      </w:r>
      <w:r>
        <w:rPr/>
        <w:t xml:space="preserve">  These include Insurance, Utilities, Interconnection Fees, Gas Pipeline Metering Cost and Miscellaneous Expenses.  The amount of the Owner’s Expense is estimated at $1.2 million for the 1999 Plants and $1.1 million for the 2000 Plants.</w:t>
      </w:r>
    </w:p>
    <w:p>
      <w:pPr>
        <w:pStyle w:val="A0b"/>
        <w:numPr>
          <w:ilvl w:val="0"/>
          <w:numId w:val="3"/>
        </w:numPr>
        <w:spacing w:before="100" w:after="240"/>
        <w:ind w:hanging="360" w:start="1800" w:end="0"/>
        <w:rPr/>
      </w:pPr>
      <w:r>
        <w:rPr>
          <w:b/>
        </w:rPr>
        <w:t>Property Taxes.</w:t>
      </w:r>
      <w:r>
        <w:rPr/>
        <w:t xml:space="preserve">  The amount of the property taxes is estimated at $1.3 million for the 1999 Plants and $0.6 million for the 2000 Plants ($ 2000).  Property taxes vary based on abatement programs and other local issues.  Property taxes are not escalated annually.</w:t>
      </w:r>
      <w:r>
        <w:rPr>
          <w:b/>
        </w:rPr>
        <w:t xml:space="preserve"> </w:t>
      </w:r>
    </w:p>
    <w:p>
      <w:pPr>
        <w:pStyle w:val="A0b"/>
        <w:numPr>
          <w:ilvl w:val="0"/>
          <w:numId w:val="3"/>
        </w:numPr>
        <w:spacing w:before="100" w:after="240"/>
        <w:ind w:hanging="360" w:start="1800" w:end="0"/>
        <w:rPr/>
      </w:pPr>
      <w:r>
        <w:rPr>
          <w:b/>
        </w:rPr>
        <w:t>Franchise Tax</w:t>
      </w:r>
      <w:r>
        <w:rPr/>
        <w:t xml:space="preserve">. Franchise Tax is calculated for Brownsville, Gleason, New Albany, Caledonia and Wilton.  </w:t>
      </w:r>
      <w:r>
        <w:rPr>
          <w:lang w:eastAsia="en-US"/>
        </w:rPr>
        <w:t xml:space="preserve">For Brownsville and Gleason, Tennessee imposes a .25% tax on the higher of (1) capital stock less treasury stock or stock held in other Tennessee corporations, retained earnings, indebtedness to, or guaranteed by, affiliated corporations and all reserves that do not represent legal liabilities, or, (2) the cost of all property owned less book (GAAP) accumulated depreciation.  For New Albany and Caledonia, Mississippi imposes a .25% tax on corporation capital employed in Mississippi.  The measure of capital includes stock, paid-in-capital, surplus and retained earnings less certain reserves.  For Wilton, </w:t>
      </w:r>
      <w:r>
        <w:rPr>
          <w:color w:val="000000"/>
          <w:lang w:eastAsia="en-US"/>
        </w:rPr>
        <w:t xml:space="preserve">Illinois imposes a franchise tax, which is the product of the computed paid-in capital multiplied by a .15% (drops to .10% after first year) rate.  The computed paid-in capital is comprised of consideration paid for stock, any other consideration contributed to the corporations by a shareholder and any amounts added or transferred to paid-in capital by the board of directors. </w:t>
      </w:r>
    </w:p>
    <w:p>
      <w:pPr>
        <w:pStyle w:val="Sub0n"/>
        <w:ind w:hanging="720" w:start="1440" w:end="0"/>
        <w:rPr/>
      </w:pPr>
      <w:r>
        <w:rPr/>
        <w:t>D.</w:t>
        <w:tab/>
        <w:t>Accounting and Tax Assumptions</w:t>
      </w:r>
    </w:p>
    <w:p>
      <w:pPr>
        <w:pStyle w:val="Normal"/>
        <w:rPr>
          <w:rFonts w:ascii="Arial" w:hAnsi="Arial" w:cs="Arial"/>
        </w:rPr>
      </w:pPr>
      <w:r>
        <w:rPr>
          <w:rFonts w:cs="Arial" w:ascii="Arial" w:hAnsi="Arial"/>
        </w:rPr>
      </w:r>
    </w:p>
    <w:p>
      <w:pPr>
        <w:pStyle w:val="A0b"/>
        <w:numPr>
          <w:ilvl w:val="0"/>
          <w:numId w:val="3"/>
        </w:numPr>
        <w:ind w:hanging="360" w:start="1800" w:end="0"/>
        <w:rPr/>
      </w:pPr>
      <w:r>
        <w:rPr>
          <w:b/>
        </w:rPr>
        <w:t>Depreciation and Amortization</w:t>
      </w:r>
      <w:r>
        <w:rPr/>
        <w:t xml:space="preserve">.  A 15-year MACRS depreciation schedule has been assumed for the calculation of cash taxes.  Book depreciation uses a 30-year straight-line schedule, with a residual value for the assets of 10%. </w:t>
      </w:r>
    </w:p>
    <w:p>
      <w:pPr>
        <w:pStyle w:val="A0b"/>
        <w:numPr>
          <w:ilvl w:val="0"/>
          <w:numId w:val="3"/>
        </w:numPr>
        <w:spacing w:before="100" w:after="100"/>
        <w:ind w:hanging="360" w:start="1800" w:end="0"/>
        <w:rPr/>
      </w:pPr>
      <w:r>
        <w:rPr>
          <w:b/>
        </w:rPr>
        <w:t>Income Taxes</w:t>
      </w:r>
      <w:r>
        <w:rPr/>
        <w:t>.  Federal tax and State income tax benefits from the Plants are calculated assuming utilization on a carry forward basis at the holding company level.  The applicable local state income tax rates are listed in the Key Inputs table.</w:t>
      </w:r>
    </w:p>
    <w:sectPr>
      <w:type w:val="nextPage"/>
      <w:pgSz w:w="12240" w:h="15840"/>
      <w:pgMar w:left="1800" w:right="5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num w:numId="1">
    <w:abstractNumId w:val="1"/>
  </w:num>
  <w:num w:numId="2">
    <w:abstractNumId w:val="2"/>
  </w:num>
  <w:num w:numId="3">
    <w:abstractNumId w:val="3"/>
  </w:num>
  <w:num w:numId="4">
    <w:abstractNumId w:val="4"/>
  </w:num>
  <w:num w:numId="5">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8">
    <w:name w:val="heading 8"/>
    <w:basedOn w:val="Normal"/>
    <w:next w:val="Normal"/>
    <w:qFormat/>
    <w:pPr>
      <w:keepNext w:val="true"/>
      <w:numPr>
        <w:ilvl w:val="7"/>
        <w:numId w:val="1"/>
      </w:numPr>
      <w:ind w:hanging="0" w:start="270" w:end="0"/>
      <w:outlineLvl w:val="7"/>
    </w:pPr>
    <w:rPr>
      <w:rFonts w:ascii="Arial" w:hAnsi="Arial" w:cs="Arial"/>
      <w:b/>
      <w:sz w:val="24"/>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Arial" w:hAnsi="Arial" w:cs="Arial"/>
      <w:b w:val="false"/>
      <w:i w:val="false"/>
      <w:color w:val="auto"/>
      <w:sz w:val="16"/>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4"/>
      </w:numPr>
      <w:spacing w:before="40" w:after="0"/>
    </w:pPr>
    <w:rPr>
      <w:rFonts w:ascii="Arial" w:hAnsi="Arial" w:cs="Arial"/>
      <w:sz w:val="16"/>
    </w:rPr>
  </w:style>
  <w:style w:type="paragraph" w:styleId="Index">
    <w:name w:val="Index"/>
    <w:basedOn w:val="Normal"/>
    <w:qFormat/>
    <w:pPr>
      <w:suppressLineNumbers/>
    </w:pPr>
    <w:rPr>
      <w:rFonts w:cs="NotoSans NF"/>
    </w:rPr>
  </w:style>
  <w:style w:type="paragraph" w:styleId="Sec0">
    <w:name w:val="Sec:0"/>
    <w:basedOn w:val="Normal"/>
    <w:next w:val="Normal"/>
    <w:qFormat/>
    <w:pPr>
      <w:pageBreakBefore/>
      <w:spacing w:before="0" w:after="360"/>
    </w:pPr>
    <w:rPr>
      <w:rFonts w:ascii="Arial" w:hAnsi="Arial" w:cs="Arial"/>
      <w:b/>
      <w:sz w:val="36"/>
    </w:rPr>
  </w:style>
  <w:style w:type="paragraph" w:styleId="A0">
    <w:name w:val="A:0"/>
    <w:basedOn w:val="Normal"/>
    <w:qFormat/>
    <w:pPr>
      <w:spacing w:before="100" w:after="100"/>
      <w:ind w:hanging="0" w:start="1440" w:end="0"/>
    </w:pPr>
    <w:rPr>
      <w:rFonts w:ascii="Arial" w:hAnsi="Arial" w:cs="Arial"/>
    </w:rPr>
  </w:style>
  <w:style w:type="paragraph" w:styleId="TableHeadings">
    <w:name w:val="Table Headings"/>
    <w:basedOn w:val="Normal"/>
    <w:qFormat/>
    <w:pPr>
      <w:spacing w:before="36" w:after="36"/>
      <w:jc w:val="center"/>
    </w:pPr>
    <w:rPr>
      <w:rFonts w:ascii="Arial" w:hAnsi="Arial" w:cs="Arial"/>
      <w:caps/>
      <w:sz w:val="16"/>
    </w:rPr>
  </w:style>
  <w:style w:type="paragraph" w:styleId="TableText">
    <w:name w:val="Table Text"/>
    <w:basedOn w:val="Normal"/>
    <w:qFormat/>
    <w:pPr>
      <w:spacing w:before="36" w:after="36"/>
    </w:pPr>
    <w:rPr>
      <w:rFonts w:ascii="Arial" w:hAnsi="Arial" w:cs="Arial"/>
    </w:rPr>
  </w:style>
  <w:style w:type="paragraph" w:styleId="Sub0n">
    <w:name w:val="Sub:0:n"/>
    <w:basedOn w:val="Normal"/>
    <w:qFormat/>
    <w:pPr>
      <w:keepNext w:val="true"/>
      <w:spacing w:before="240" w:after="120"/>
    </w:pPr>
    <w:rPr>
      <w:rFonts w:ascii="Arial" w:hAnsi="Arial" w:cs="Arial"/>
      <w:b/>
      <w:sz w:val="24"/>
    </w:rPr>
  </w:style>
  <w:style w:type="paragraph" w:styleId="A0b">
    <w:name w:val="A:0:b"/>
    <w:basedOn w:val="Normal"/>
    <w:qFormat/>
    <w:pPr>
      <w:numPr>
        <w:ilvl w:val="0"/>
        <w:numId w:val="3"/>
      </w:numPr>
      <w:spacing w:before="100" w:after="100"/>
    </w:pPr>
    <w:rPr>
      <w:rFonts w:ascii="Arial" w:hAnsi="Arial" w:cs="Arial"/>
    </w:rPr>
  </w:style>
  <w:style w:type="paragraph" w:styleId="BodyTextIndent2">
    <w:name w:val="Body Text Indent 2"/>
    <w:basedOn w:val="Normal"/>
    <w:qFormat/>
    <w:pPr>
      <w:ind w:hanging="0" w:start="2430" w:end="0"/>
    </w:pPr>
    <w:rPr>
      <w:rFonts w:ascii="Arial" w:hAnsi="Arial" w:cs="Arial"/>
    </w:rPr>
  </w:style>
  <w:style w:type="paragraph" w:styleId="Ttl0">
    <w:name w:val="Tt:l:0"/>
    <w:basedOn w:val="Normal"/>
    <w:qFormat/>
    <w:pPr>
      <w:spacing w:before="240" w:after="0"/>
    </w:pPr>
    <w:rPr>
      <w:rFonts w:ascii="Arial" w:hAnsi="Arial" w:cs="Arial"/>
      <w:b/>
      <w:sz w:val="28"/>
    </w:rPr>
  </w:style>
  <w:style w:type="paragraph" w:styleId="Tsl0">
    <w:name w:val="Ts:l:0"/>
    <w:basedOn w:val="Normal"/>
    <w:qFormat/>
    <w:pPr>
      <w:spacing w:before="0" w:after="120"/>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2000-05-15T18:52:00Z</dcterms:created>
  <dc:creator>clau</dc:creator>
  <dc:description/>
  <dc:language>en-CA</dc:language>
  <cp:lastModifiedBy>Ben Rogers</cp:lastModifiedBy>
  <cp:lastPrinted>2000-05-12T15:47:00Z</cp:lastPrinted>
  <dcterms:modified xsi:type="dcterms:W3CDTF">2000-05-16T22:50:00Z</dcterms:modified>
  <cp:revision>7</cp:revision>
  <dc:subject/>
  <dc:title>Financial Information</dc:title>
</cp:coreProperties>
</file>