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sz w:val="24"/>
          <w:u w:val="single"/>
        </w:rPr>
      </w:pPr>
      <w:r>
        <w:rPr>
          <w:b w:val="false"/>
          <w:sz w:val="24"/>
          <w:u w:val="single"/>
        </w:rPr>
        <w:t>Uncleared Draft; January 12, 2001</w:t>
      </w:r>
    </w:p>
    <w:p>
      <w:pPr>
        <w:pStyle w:val="Heading"/>
        <w:rPr>
          <w:b w:val="false"/>
          <w:sz w:val="24"/>
          <w:u w:val="single"/>
        </w:rPr>
      </w:pPr>
      <w:r>
        <w:rPr>
          <w:b w:val="false"/>
          <w:sz w:val="24"/>
          <w:u w:val="single"/>
        </w:rPr>
      </w:r>
    </w:p>
    <w:p>
      <w:pPr>
        <w:pStyle w:val="Heading"/>
        <w:rPr/>
      </w:pPr>
      <w:r>
        <w:rPr/>
        <w:t>Interim Report of the Working Group on</w:t>
      </w:r>
    </w:p>
    <w:p>
      <w:pPr>
        <w:pStyle w:val="Normal"/>
        <w:jc w:val="center"/>
        <w:rPr>
          <w:b/>
          <w:smallCaps/>
          <w:sz w:val="28"/>
        </w:rPr>
      </w:pPr>
      <w:r>
        <w:rPr>
          <w:b/>
          <w:smallCaps/>
          <w:sz w:val="28"/>
        </w:rPr>
        <w:t>Long-term Contracts</w:t>
      </w:r>
    </w:p>
    <w:p>
      <w:pPr>
        <w:pStyle w:val="Normal"/>
        <w:rPr>
          <w:b/>
          <w:smallCaps/>
          <w:sz w:val="28"/>
        </w:rPr>
      </w:pPr>
      <w:r>
        <w:rPr>
          <w:b/>
          <w:smallCaps/>
          <w:sz w:val="28"/>
        </w:rPr>
      </w:r>
    </w:p>
    <w:p>
      <w:pPr>
        <w:pStyle w:val="Normal"/>
        <w:rPr/>
      </w:pPr>
      <w:r>
        <w:rPr/>
      </w:r>
    </w:p>
    <w:p>
      <w:pPr>
        <w:pStyle w:val="Normal"/>
        <w:rPr/>
      </w:pPr>
      <w:r>
        <w:rPr/>
        <w:t xml:space="preserve">[Remove brackets once this report is cleared] [This report represents the consensus views of the participants other than the regulators and the facilitators in the recent dialogue facilitated by the Departments of the Treasury and Energy and the National Economic Council.  Participants included the investor-owned utilities, a selection of generators, marketers, qualifying facility owners, Federal regulatory authorities, and a representative of the CPUC.]  </w:t>
      </w:r>
    </w:p>
    <w:p>
      <w:pPr>
        <w:pStyle w:val="Normal"/>
        <w:rPr/>
      </w:pPr>
      <w:r>
        <w:rPr/>
      </w:r>
    </w:p>
    <w:p>
      <w:pPr>
        <w:pStyle w:val="Heading2"/>
        <w:ind w:hanging="0" w:start="0"/>
        <w:rPr/>
      </w:pPr>
      <w:r>
        <w:rPr/>
        <w:t>A. Objective</w:t>
      </w:r>
    </w:p>
    <w:p>
      <w:pPr>
        <w:pStyle w:val="Normal"/>
        <w:rPr/>
      </w:pPr>
      <w:r>
        <w:rPr/>
      </w:r>
    </w:p>
    <w:p>
      <w:pPr>
        <w:pStyle w:val="Normal"/>
        <w:rPr/>
      </w:pPr>
      <w:r>
        <w:rPr/>
        <w:t xml:space="preserve">The primary objective of this Working Group (WG) is to design a process through which the State can determine whether – and if so, how – the State can acquire electricity to cover the net short position of the investor-owned utilities at an average price of 5.5 cents per kWh or less. A secondary objective is to accomplish this design as quickly as possible. In line with the interest in promoting speed, another secondary objective is to limit the need for new legislation. </w:t>
      </w:r>
    </w:p>
    <w:p>
      <w:pPr>
        <w:pStyle w:val="Normal"/>
        <w:rPr/>
      </w:pPr>
      <w:r>
        <w:rPr/>
      </w:r>
    </w:p>
    <w:p>
      <w:pPr>
        <w:pStyle w:val="Heading2"/>
        <w:ind w:hanging="0" w:start="0"/>
        <w:rPr/>
      </w:pPr>
      <w:r>
        <w:rPr/>
        <w:t>B. Feasibility assessment</w:t>
      </w:r>
    </w:p>
    <w:p>
      <w:pPr>
        <w:pStyle w:val="Normal"/>
        <w:rPr/>
      </w:pPr>
      <w:r>
        <w:rPr/>
      </w:r>
    </w:p>
    <w:p>
      <w:pPr>
        <w:pStyle w:val="Normal"/>
        <w:rPr/>
      </w:pPr>
      <w:r>
        <w:rPr/>
        <w:t xml:space="preserve">The WG believes that, with maximum cooperation from all involved, the RFO process contemplated here could be set up and conducted sufficiently quickly to allow electricity to flow under these contracts by February 1.  However, it is possible that the time line will have to be adjusted depending on the outcome of the other components of the comprehensive plan. </w:t>
      </w:r>
    </w:p>
    <w:p>
      <w:pPr>
        <w:pStyle w:val="Normal"/>
        <w:rPr/>
      </w:pPr>
      <w:r>
        <w:rPr/>
      </w:r>
    </w:p>
    <w:p>
      <w:pPr>
        <w:pStyle w:val="Normal"/>
        <w:rPr/>
      </w:pPr>
      <w:r>
        <w:rPr/>
        <w:t>At present, there is no assurance as to whether the bids in this process will allow the State to meet its objective of filling the whole of the IOUs’ net short position at an average cost of 5.5 cents or less.  This lack of assurance can only be resolved by conducting the process itself, because only in that case will firms be entering bids that could be legally binding.</w:t>
      </w:r>
    </w:p>
    <w:p>
      <w:pPr>
        <w:pStyle w:val="Normal"/>
        <w:rPr/>
      </w:pPr>
      <w:r>
        <w:rPr/>
      </w:r>
    </w:p>
    <w:p>
      <w:pPr>
        <w:pStyle w:val="Heading2"/>
        <w:ind w:hanging="0" w:start="0"/>
        <w:rPr/>
      </w:pPr>
      <w:r>
        <w:rPr/>
        <w:t>C. Key assumptions</w:t>
      </w:r>
    </w:p>
    <w:p>
      <w:pPr>
        <w:pStyle w:val="Normal"/>
        <w:rPr/>
      </w:pPr>
      <w:r>
        <w:rPr/>
      </w:r>
    </w:p>
    <w:p>
      <w:pPr>
        <w:pStyle w:val="Normal"/>
        <w:rPr/>
      </w:pPr>
      <w:r>
        <w:rPr/>
        <w:t>In line with the guidance from the principals, the WG maintained the following key assumptions:</w:t>
      </w:r>
    </w:p>
    <w:p>
      <w:pPr>
        <w:pStyle w:val="Normal"/>
        <w:rPr/>
      </w:pPr>
      <w:r>
        <w:rPr/>
      </w:r>
    </w:p>
    <w:p>
      <w:pPr>
        <w:pStyle w:val="Normal"/>
        <w:numPr>
          <w:ilvl w:val="0"/>
          <w:numId w:val="4"/>
        </w:numPr>
        <w:rPr/>
      </w:pPr>
      <w:r>
        <w:rPr/>
        <w:t>That the process by which the State will acquire electricity will feature an RFO process in which the weighted average price target is 5.5 cents (or less), and other terms are determined through competitive bidding.</w:t>
        <w:br/>
      </w:r>
    </w:p>
    <w:p>
      <w:pPr>
        <w:pStyle w:val="Normal"/>
        <w:numPr>
          <w:ilvl w:val="0"/>
          <w:numId w:val="4"/>
        </w:numPr>
        <w:rPr/>
      </w:pPr>
      <w:r>
        <w:rPr/>
        <w:t xml:space="preserve">That the State will be the buyer in the RFO process, either in fact or in effect, and the full faith and credit of the State of California will stand behind the long-term contracts that result from this process. </w:t>
        <w:br/>
      </w:r>
    </w:p>
    <w:p>
      <w:pPr>
        <w:pStyle w:val="Normal"/>
        <w:numPr>
          <w:ilvl w:val="0"/>
          <w:numId w:val="4"/>
        </w:numPr>
        <w:rPr/>
      </w:pPr>
      <w:r>
        <w:rPr/>
        <w:t>That the Department of Water Resources acts as the implementing State agency, drawing on whatever assistance may be necessary to assist in issuing RFOs and reviewing responses.  DWR is encouraged to engage an outside consultant to assist in the process.</w:t>
      </w:r>
    </w:p>
    <w:p>
      <w:pPr>
        <w:pStyle w:val="Normal"/>
        <w:rPr/>
      </w:pPr>
      <w:r>
        <w:rPr/>
      </w:r>
    </w:p>
    <w:p>
      <w:pPr>
        <w:pStyle w:val="Normal"/>
        <w:rPr/>
      </w:pPr>
      <w:r>
        <w:rPr/>
        <w:t>In addition, the participants stress that the conclusions reached in this document are predicated on the satisfactory resolution of other outstanding issues (even beyond the purview of this Working Group), so that the actions contemplated here become part of a comprehensive plan for restoring the financial health of the IOUs and other market participants, and for otherwise stabilizing California electricity markets.  Specifically, all the suppliers that participated in this WG believe that the concurrent resolution of these other outstanding issues (such as a party’s refund liability, and whether releases will be given regarding prior and future claims) may have a significant bearing on whether the RFO process contemplated herein ultimately is undertaken or otherwise successful.  Some participants also believe that there should be State commitments to enhance retail markets and to simplify the development process for new generation.</w:t>
      </w:r>
    </w:p>
    <w:p>
      <w:pPr>
        <w:pStyle w:val="Normal"/>
        <w:rPr/>
      </w:pPr>
      <w:r>
        <w:rPr/>
      </w:r>
    </w:p>
    <w:p>
      <w:pPr>
        <w:pStyle w:val="Heading2"/>
        <w:keepLines/>
        <w:ind w:hanging="0" w:start="0"/>
        <w:rPr/>
      </w:pPr>
      <w:r>
        <w:rPr/>
        <w:t>D. Process</w:t>
      </w:r>
    </w:p>
    <w:p>
      <w:pPr>
        <w:pStyle w:val="Normal"/>
        <w:keepNext w:val="true"/>
        <w:keepLines/>
        <w:rPr/>
      </w:pPr>
      <w:r>
        <w:rPr/>
      </w:r>
    </w:p>
    <w:p>
      <w:pPr>
        <w:pStyle w:val="Normal"/>
        <w:keepNext w:val="true"/>
        <w:keepLines/>
        <w:rPr/>
      </w:pPr>
      <w:r>
        <w:rPr/>
        <w:t>The WG assumes that the State, through the Department of Water Resources, will issue a Request for Offers (RFO).  Importantly, the RFO will include an exhibit displaying separate estimates of the net short position of each of the investor-owned utilities at each of the major delivery points in the State over the next 12 months, escalated to show representative monthly figures through 2015.  A preliminary version of these estimates has been provided by the IOUs.  The RFO will have attached to it a contract to be used by each bidder.</w:t>
      </w:r>
    </w:p>
    <w:p>
      <w:pPr>
        <w:pStyle w:val="Normal"/>
        <w:rPr/>
      </w:pPr>
      <w:r>
        <w:rPr/>
      </w:r>
    </w:p>
    <w:p>
      <w:pPr>
        <w:pStyle w:val="Normal"/>
        <w:rPr/>
      </w:pPr>
      <w:r>
        <w:rPr/>
        <w:t>A draft RFO is provided at Tab A.</w:t>
      </w:r>
    </w:p>
    <w:p>
      <w:pPr>
        <w:pStyle w:val="Normal"/>
        <w:rPr/>
      </w:pPr>
      <w:r>
        <w:rPr/>
      </w:r>
    </w:p>
    <w:p>
      <w:pPr>
        <w:pStyle w:val="Normal"/>
        <w:keepNext w:val="true"/>
        <w:keepLines/>
        <w:rPr/>
      </w:pPr>
      <w:r>
        <w:rPr>
          <w:i/>
        </w:rPr>
        <w:t>E. Contract design</w:t>
      </w:r>
      <w:r>
        <w:rPr/>
        <w:t xml:space="preserve"> </w:t>
      </w:r>
    </w:p>
    <w:p>
      <w:pPr>
        <w:pStyle w:val="Normal"/>
        <w:keepNext w:val="true"/>
        <w:keepLines/>
        <w:rPr/>
      </w:pPr>
      <w:r>
        <w:rPr/>
      </w:r>
    </w:p>
    <w:p>
      <w:pPr>
        <w:pStyle w:val="Normal"/>
        <w:rPr/>
      </w:pPr>
      <w:r>
        <w:rPr/>
        <w:t>The WG has drafted a standardized contract for use in this context.  The WG worked from the Edison Electric Institute Master Power Purchase and Sale Agreement.</w:t>
      </w:r>
    </w:p>
    <w:p>
      <w:pPr>
        <w:pStyle w:val="Normal"/>
        <w:rPr/>
      </w:pPr>
      <w:r>
        <w:rPr/>
      </w:r>
    </w:p>
    <w:p>
      <w:pPr>
        <w:pStyle w:val="Normal"/>
        <w:rPr/>
      </w:pPr>
      <w:r>
        <w:rPr/>
        <w:t xml:space="preserve">A draft contract is provided at Tab B. </w:t>
      </w:r>
    </w:p>
    <w:p>
      <w:pPr>
        <w:pStyle w:val="Normal"/>
        <w:rPr/>
      </w:pPr>
      <w:r>
        <w:rPr/>
      </w:r>
    </w:p>
    <w:p>
      <w:pPr>
        <w:pStyle w:val="Heading2"/>
        <w:keepLines/>
        <w:ind w:hanging="0" w:start="0"/>
        <w:rPr/>
      </w:pPr>
      <w:r>
        <w:rPr/>
        <w:t>F. Product definition</w:t>
      </w:r>
    </w:p>
    <w:p>
      <w:pPr>
        <w:pStyle w:val="Normal"/>
        <w:keepNext w:val="true"/>
        <w:keepLines/>
        <w:rPr/>
      </w:pPr>
      <w:r>
        <w:rPr/>
      </w:r>
    </w:p>
    <w:p>
      <w:pPr>
        <w:pStyle w:val="Normal"/>
        <w:keepNext w:val="true"/>
        <w:keepLines/>
        <w:rPr/>
      </w:pPr>
      <w:r>
        <w:rPr/>
        <w:t xml:space="preserve">The RFO process will involve four types of electricity service which are described at Tab C.  Each of these products may be bid for delivery to any specified point within each of the investor-owned utility service territories. In addition, each bid may specify that the bid is either firm or not firm.  </w:t>
      </w:r>
    </w:p>
    <w:p>
      <w:pPr>
        <w:pStyle w:val="Normal"/>
        <w:rPr/>
      </w:pPr>
      <w:r>
        <w:rPr/>
      </w:r>
    </w:p>
    <w:p>
      <w:pPr>
        <w:pStyle w:val="Heading2"/>
        <w:keepLines/>
        <w:ind w:hanging="0" w:start="0"/>
        <w:rPr/>
      </w:pPr>
      <w:r>
        <w:rPr/>
        <w:t>G. Auction design</w:t>
      </w:r>
    </w:p>
    <w:p>
      <w:pPr>
        <w:pStyle w:val="Normal"/>
        <w:keepNext w:val="true"/>
        <w:keepLines/>
        <w:rPr/>
      </w:pPr>
      <w:r>
        <w:rPr/>
      </w:r>
    </w:p>
    <w:p>
      <w:pPr>
        <w:pStyle w:val="Normal"/>
        <w:keepNext w:val="true"/>
        <w:keepLines/>
        <w:rPr/>
      </w:pPr>
      <w:r>
        <w:rPr/>
        <w:t>The WG considered the following three approaches to structuring the procurement of long-term contracts:</w:t>
      </w:r>
    </w:p>
    <w:p>
      <w:pPr>
        <w:pStyle w:val="Normal"/>
        <w:rPr/>
      </w:pPr>
      <w:r>
        <w:rPr/>
      </w:r>
    </w:p>
    <w:p>
      <w:pPr>
        <w:pStyle w:val="Normal"/>
        <w:numPr>
          <w:ilvl w:val="0"/>
          <w:numId w:val="6"/>
        </w:numPr>
        <w:tabs>
          <w:tab w:val="left" w:pos="720" w:leader="none"/>
        </w:tabs>
        <w:ind w:hanging="360" w:start="720" w:end="0"/>
        <w:rPr/>
      </w:pPr>
      <w:r>
        <w:rPr/>
        <w:t>The State specifies four prices – one for each product – that are expected to yield a blended price of no more than 5.5 cents.  (For purposes of our discussions, we are assuming that the schedule of prices will be the same for all three locations.)  Separate bidding takes place for each product and for each point of delivery, and bids are allowed to differ on term, volume, and degree of firmness.  Using these bids, the auction manager attempts to meet the net shortfall position in the most economically attractive terms, and certainly at a rate equal to or less than 5.5 cents.</w:t>
      </w:r>
      <w:r>
        <w:rPr>
          <w:rStyle w:val="FootnoteCharacters"/>
          <w:rStyle w:val="FootnoteReference"/>
        </w:rPr>
        <w:footnoteReference w:id="2"/>
      </w:r>
      <w:r>
        <w:rPr/>
        <w:br/>
      </w:r>
    </w:p>
    <w:p>
      <w:pPr>
        <w:pStyle w:val="Normal"/>
        <w:numPr>
          <w:ilvl w:val="0"/>
          <w:numId w:val="6"/>
        </w:numPr>
        <w:tabs>
          <w:tab w:val="left" w:pos="720" w:leader="none"/>
        </w:tabs>
        <w:ind w:hanging="360" w:start="720" w:end="0"/>
        <w:rPr/>
      </w:pPr>
      <w:r>
        <w:rPr/>
        <w:t>The State specifies the same price (i.e. 5.5 cents or less) for each location on a blended product combining 7</w:t>
      </w:r>
      <w:r>
        <w:rPr>
          <w:rFonts w:eastAsia="WP MathA" w:cs="WP MathA" w:ascii="WP MathA" w:hAnsi="WP MathA"/>
        </w:rPr>
        <w:sym w:font="WP MathA" w:char="f048"/>
      </w:r>
      <w:r>
        <w:rPr/>
        <w:t>24, 6</w:t>
      </w:r>
      <w:r>
        <w:rPr>
          <w:rFonts w:eastAsia="WP MathA" w:cs="WP MathA" w:ascii="WP MathA" w:hAnsi="WP MathA"/>
        </w:rPr>
        <w:sym w:font="WP MathA" w:char="f048"/>
      </w:r>
      <w:r>
        <w:rPr/>
        <w:t xml:space="preserve">16, dispatchable capacity, and ancillary services in the proportions specified by the IOUs.  Bids are for the location-specific blended product only, and are allowed to differ on term, volume, and as otherwise indicated in the offer. </w:t>
        <w:br/>
      </w:r>
    </w:p>
    <w:p>
      <w:pPr>
        <w:pStyle w:val="Normal"/>
        <w:numPr>
          <w:ilvl w:val="0"/>
          <w:numId w:val="6"/>
        </w:numPr>
        <w:tabs>
          <w:tab w:val="left" w:pos="720" w:leader="none"/>
        </w:tabs>
        <w:ind w:hanging="360" w:start="720" w:end="0"/>
        <w:rPr/>
      </w:pPr>
      <w:r>
        <w:rPr/>
        <w:t>The State specifies no prices.  Separate bidding would be allowed for any product and for any location, and bids are allowed to differ on price, term, volume, degree of firmness, and as otherwise indicated in the offer. Using these bids, the auction manager attempts to meet the net shortfall position in the most economically attractive terms with a goal of achieving a weighted-average price of 5.5 cents or less.</w:t>
      </w:r>
    </w:p>
    <w:p>
      <w:pPr>
        <w:pStyle w:val="Normal"/>
        <w:rPr/>
      </w:pPr>
      <w:r>
        <w:rPr/>
      </w:r>
    </w:p>
    <w:p>
      <w:pPr>
        <w:pStyle w:val="Normal"/>
        <w:rPr/>
      </w:pPr>
      <w:r>
        <w:rPr/>
        <w:t>Given the time constraints under which the WG has been operating, most of its members believe that the first approach is not likely to achieve a successful outcome in the short run. In addition, a number of the members of the WG believe that the second approach listed above sets too great a challenge, in that it requires every individual bidder to meet the demand profile (across the blend of four products) of the IOU to which the power is being delivered.  Accordingly, the WG believes that, at least over the short run, the third approach to the RFO process is most likely to result in a successful outcome.  The WG notes that these approaches are not mutually exclusive.</w:t>
      </w:r>
    </w:p>
    <w:p>
      <w:pPr>
        <w:pStyle w:val="Normal"/>
        <w:rPr/>
      </w:pPr>
      <w:r>
        <w:rPr/>
      </w:r>
    </w:p>
    <w:p>
      <w:pPr>
        <w:pStyle w:val="Heading2"/>
        <w:ind w:hanging="0" w:start="0"/>
        <w:rPr>
          <w:i w:val="false"/>
          <w:i w:val="false"/>
        </w:rPr>
      </w:pPr>
      <w:r>
        <w:rPr/>
        <w:t>H. Proposed timeline</w:t>
      </w:r>
    </w:p>
    <w:p>
      <w:pPr>
        <w:pStyle w:val="Normal"/>
        <w:rPr>
          <w:i/>
          <w:i/>
        </w:rPr>
      </w:pPr>
      <w:r>
        <w:rPr>
          <w:i/>
        </w:rPr>
      </w:r>
    </w:p>
    <w:p>
      <w:pPr>
        <w:pStyle w:val="Normal"/>
        <w:rPr/>
      </w:pPr>
      <w:r>
        <w:rPr/>
        <w:t>The following time table may not be possible to the extent legislation or other State or Federal approvals are required.</w:t>
      </w:r>
    </w:p>
    <w:p>
      <w:pPr>
        <w:pStyle w:val="Normal"/>
        <w:rPr/>
      </w:pPr>
      <w:r>
        <w:rPr/>
      </w:r>
    </w:p>
    <w:p>
      <w:pPr>
        <w:pStyle w:val="Normal"/>
        <w:numPr>
          <w:ilvl w:val="0"/>
          <w:numId w:val="5"/>
        </w:numPr>
        <w:rPr/>
      </w:pPr>
      <w:r>
        <w:rPr/>
        <w:t>Jan. 12 – provide package (inc. RFO and process outline) to principals</w:t>
      </w:r>
    </w:p>
    <w:p>
      <w:pPr>
        <w:pStyle w:val="Normal"/>
        <w:numPr>
          <w:ilvl w:val="0"/>
          <w:numId w:val="5"/>
        </w:numPr>
        <w:rPr/>
      </w:pPr>
      <w:r>
        <w:rPr/>
        <w:t>Jan. 13 – decision to proceed; DWR contact identified; RFO documents and standard contract provided to DWR</w:t>
      </w:r>
    </w:p>
    <w:p>
      <w:pPr>
        <w:pStyle w:val="Normal"/>
        <w:numPr>
          <w:ilvl w:val="0"/>
          <w:numId w:val="5"/>
        </w:numPr>
        <w:rPr/>
      </w:pPr>
      <w:r>
        <w:rPr/>
        <w:t>Jan. 16 – RFO pre-notice issued (certification of credit to be provided with RFO response; bids to be binding for 3 days unless otherwise specified; N</w:t>
      </w:r>
      <w:r>
        <w:rPr>
          <w:caps/>
        </w:rPr>
        <w:t>o</w:t>
      </w:r>
      <w:r>
        <w:rPr/>
        <w:t>x credits)</w:t>
      </w:r>
    </w:p>
    <w:p>
      <w:pPr>
        <w:pStyle w:val="Normal"/>
        <w:numPr>
          <w:ilvl w:val="0"/>
          <w:numId w:val="5"/>
        </w:numPr>
        <w:rPr/>
      </w:pPr>
      <w:r>
        <w:rPr/>
        <w:t>Jan. 18 – RFO issued</w:t>
      </w:r>
    </w:p>
    <w:p>
      <w:pPr>
        <w:pStyle w:val="Normal"/>
        <w:numPr>
          <w:ilvl w:val="0"/>
          <w:numId w:val="5"/>
        </w:numPr>
        <w:rPr/>
      </w:pPr>
      <w:r>
        <w:rPr/>
        <w:t>Jan. 22 – Responses due</w:t>
      </w:r>
    </w:p>
    <w:p>
      <w:pPr>
        <w:pStyle w:val="Normal"/>
        <w:numPr>
          <w:ilvl w:val="0"/>
          <w:numId w:val="5"/>
        </w:numPr>
        <w:rPr/>
      </w:pPr>
      <w:r>
        <w:rPr/>
        <w:t>Jan. 25 – Consultant analysis due; follow-up negotiations begin</w:t>
      </w:r>
    </w:p>
    <w:p>
      <w:pPr>
        <w:pStyle w:val="Normal"/>
        <w:numPr>
          <w:ilvl w:val="0"/>
          <w:numId w:val="5"/>
        </w:numPr>
        <w:rPr/>
      </w:pPr>
      <w:r>
        <w:rPr/>
        <w:t>Jan. 31 – Legislation enacted; final contracts executed; results announced</w:t>
      </w:r>
    </w:p>
    <w:p>
      <w:pPr>
        <w:pStyle w:val="Normal"/>
        <w:numPr>
          <w:ilvl w:val="0"/>
          <w:numId w:val="5"/>
        </w:numPr>
        <w:rPr/>
      </w:pPr>
      <w:r>
        <w:rPr/>
        <w:t>Feb. 1 – Power flows</w:t>
      </w:r>
    </w:p>
    <w:p>
      <w:pPr>
        <w:pStyle w:val="Normal"/>
        <w:rPr/>
      </w:pPr>
      <w:r>
        <w:rPr/>
      </w:r>
    </w:p>
    <w:p>
      <w:pPr>
        <w:pStyle w:val="Heading2"/>
        <w:keepLines/>
        <w:ind w:hanging="0" w:start="0"/>
        <w:rPr/>
      </w:pPr>
      <w:r>
        <w:rPr/>
        <w:t>I. Key outstanding issues</w:t>
      </w:r>
    </w:p>
    <w:p>
      <w:pPr>
        <w:pStyle w:val="Normal"/>
        <w:keepNext w:val="true"/>
        <w:keepLines/>
        <w:rPr/>
      </w:pPr>
      <w:r>
        <w:rPr/>
      </w:r>
    </w:p>
    <w:p>
      <w:pPr>
        <w:pStyle w:val="Normal"/>
        <w:keepNext w:val="true"/>
        <w:keepLines/>
        <w:rPr/>
      </w:pPr>
      <w:r>
        <w:rPr/>
        <w:t>The members of the WG identified the following as the key unresolved issues related to the conduct of these auctions:</w:t>
      </w:r>
    </w:p>
    <w:p>
      <w:pPr>
        <w:pStyle w:val="Header"/>
        <w:tabs>
          <w:tab w:val="clear" w:pos="4320"/>
          <w:tab w:val="clear" w:pos="8640"/>
        </w:tabs>
        <w:rPr/>
      </w:pPr>
      <w:r>
        <w:rPr/>
      </w:r>
    </w:p>
    <w:p>
      <w:pPr>
        <w:pStyle w:val="Normal"/>
        <w:numPr>
          <w:ilvl w:val="0"/>
          <w:numId w:val="2"/>
        </w:numPr>
        <w:rPr/>
      </w:pPr>
      <w:r>
        <w:rPr/>
        <w:t xml:space="preserve">All participants believe that it will be crucial to prepare a comprehensive settlement package and to have appropriate FERC approval or guidance </w:t>
      </w:r>
      <w:r>
        <w:rPr>
          <w:i/>
        </w:rPr>
        <w:t>before</w:t>
      </w:r>
      <w:r>
        <w:rPr/>
        <w:t xml:space="preserve"> the first RFO process is completed. All participants also contemplate that it will be necessary for FERC to find that the rates, terms, and conditions under which the services solely provided to the State agency for the IOUs are not unjust, unreasonable, unduly discriminatory, or preferential. All participants also believe that the CPUC or the State Legislature must provide adequate assurances that the costs incurred by the State under these contracts will be passed through in full to ratepayers.  Some participants believe the IOUs can only pay the State for power delivered in the amount the IOUs recover in rates.</w:t>
        <w:br/>
      </w:r>
    </w:p>
    <w:p>
      <w:pPr>
        <w:pStyle w:val="Normal"/>
        <w:numPr>
          <w:ilvl w:val="0"/>
          <w:numId w:val="2"/>
        </w:numPr>
        <w:rPr/>
      </w:pPr>
      <w:r>
        <w:rPr/>
        <w:t>Several of the WG participants believe that relevant authorities should consider modifying current NOx requirements and water thermal limits as two ways of bringing down the cost of generating electricity and to reduce the likelihood of further supply shortages.</w:t>
      </w:r>
    </w:p>
    <w:p>
      <w:pPr>
        <w:pStyle w:val="Normal"/>
        <w:rPr/>
      </w:pPr>
      <w:r>
        <w:rPr/>
      </w:r>
    </w:p>
    <w:p>
      <w:pPr>
        <w:pStyle w:val="Normal"/>
        <w:numPr>
          <w:ilvl w:val="0"/>
          <w:numId w:val="8"/>
        </w:numPr>
        <w:rPr/>
      </w:pPr>
      <w:r>
        <w:rPr/>
        <w:t>The State may need to use emergency powers to address contracting protocols and confidentiality requirements and to hire necessary consulting services.</w:t>
        <w:br/>
      </w:r>
    </w:p>
    <w:p>
      <w:pPr>
        <w:pStyle w:val="Normal"/>
        <w:numPr>
          <w:ilvl w:val="0"/>
          <w:numId w:val="8"/>
        </w:numPr>
        <w:rPr/>
      </w:pPr>
      <w:r>
        <w:rPr/>
        <w:t>The State will have to determine any necessary changes to DWR Charter, as well as other required legislative changes.</w:t>
        <w:br/>
      </w:r>
    </w:p>
    <w:p>
      <w:pPr>
        <w:pStyle w:val="Normal"/>
        <w:numPr>
          <w:ilvl w:val="0"/>
          <w:numId w:val="8"/>
        </w:numPr>
        <w:rPr/>
      </w:pPr>
      <w:r>
        <w:rPr/>
        <w:t>The State will have to define the legal relationship under these contracts between the utilities and the DWR.  We assumed that the definition would be accomplished by January 18 and implementing agreements completed by January 31.</w:t>
        <w:br/>
      </w:r>
    </w:p>
    <w:p>
      <w:pPr>
        <w:pStyle w:val="Normal"/>
        <w:numPr>
          <w:ilvl w:val="0"/>
          <w:numId w:val="8"/>
        </w:numPr>
        <w:rPr/>
      </w:pPr>
      <w:r>
        <w:rPr/>
        <w:t>The State will have to require participation of municipalities at reasonable prices to ensure resource and pricing goals.</w:t>
      </w:r>
    </w:p>
    <w:p>
      <w:pPr>
        <w:pStyle w:val="Normal"/>
        <w:rPr/>
      </w:pPr>
      <w:r>
        <w:rPr/>
      </w:r>
    </w:p>
    <w:p>
      <w:pPr>
        <w:pStyle w:val="Normal"/>
        <w:numPr>
          <w:ilvl w:val="0"/>
          <w:numId w:val="8"/>
        </w:numPr>
        <w:rPr/>
      </w:pPr>
      <w:r>
        <w:rPr/>
        <w:t>The participants agree that a reformation of existing qualifying facilities’ payment structures must be part of the comprehensive plan.</w:t>
        <w:br/>
      </w:r>
    </w:p>
    <w:p>
      <w:pPr>
        <w:pStyle w:val="Normal"/>
        <w:numPr>
          <w:ilvl w:val="0"/>
          <w:numId w:val="8"/>
        </w:numPr>
        <w:rPr/>
      </w:pPr>
      <w:r>
        <w:rPr/>
        <w:t>Some participants believe that this RFO process will result in the State performing the role of the utilities’ portfolio manager.  Other participants believe that this RFO process will result in the State performing the role of the utilities’ purchasing agent.</w:t>
        <w:br/>
      </w:r>
    </w:p>
    <w:p>
      <w:pPr>
        <w:pStyle w:val="Normal"/>
        <w:numPr>
          <w:ilvl w:val="0"/>
          <w:numId w:val="8"/>
        </w:numPr>
        <w:rPr/>
      </w:pPr>
      <w:r>
        <w:rPr/>
        <w:t>Some participants believe that the reform of the spot market is necessary for the achievement of the objective stated under paragraph A.</w:t>
      </w:r>
    </w:p>
    <w:p>
      <w:pPr>
        <w:pStyle w:val="Normal"/>
        <w:rPr/>
      </w:pPr>
      <w:r>
        <w:rPr/>
      </w:r>
    </w:p>
    <w:p>
      <w:pPr>
        <w:pStyle w:val="Normal"/>
        <w:rPr/>
      </w:pPr>
      <w:r>
        <w:rPr>
          <w:u w:val="single"/>
        </w:rPr>
        <w:t>Attachments</w:t>
      </w:r>
      <w:r>
        <w:rPr/>
        <w:t>:</w:t>
      </w:r>
    </w:p>
    <w:p>
      <w:pPr>
        <w:pStyle w:val="Normal"/>
        <w:rPr/>
      </w:pPr>
      <w:r>
        <w:rPr/>
        <w:t>Tab A:</w:t>
        <w:tab/>
        <w:t>Draft RFO</w:t>
      </w:r>
    </w:p>
    <w:p>
      <w:pPr>
        <w:pStyle w:val="Normal"/>
        <w:rPr/>
      </w:pPr>
      <w:r>
        <w:rPr/>
        <w:t>Tab B:</w:t>
        <w:tab/>
        <w:t>Draft contract</w:t>
      </w:r>
    </w:p>
    <w:p>
      <w:pPr>
        <w:pStyle w:val="Normal"/>
        <w:rPr/>
      </w:pPr>
      <w:r>
        <w:rPr/>
        <w:t>Tab C:</w:t>
        <w:tab/>
        <w:t>Product definitions</w:t>
      </w:r>
      <w:r>
        <w:br w:type="page"/>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smallCaps/>
          <w:sz w:val="40"/>
        </w:rPr>
      </w:pPr>
      <w:r>
        <w:rPr>
          <w:b/>
          <w:smallCaps/>
          <w:sz w:val="40"/>
        </w:rPr>
        <w:t>Tab A</w:t>
      </w:r>
    </w:p>
    <w:p>
      <w:pPr>
        <w:pStyle w:val="Normal"/>
        <w:jc w:val="center"/>
        <w:rPr>
          <w:b/>
          <w:smallCaps/>
          <w:sz w:val="40"/>
        </w:rPr>
      </w:pPr>
      <w:r>
        <w:rPr>
          <w:b/>
          <w:smallCaps/>
          <w:sz w:val="40"/>
        </w:rPr>
        <w:t>Draft RFO</w:t>
      </w:r>
    </w:p>
    <w:p>
      <w:pPr>
        <w:pStyle w:val="Normal"/>
        <w:rPr>
          <w:b/>
          <w:smallCaps/>
          <w:sz w:val="40"/>
        </w:rPr>
      </w:pPr>
      <w:r>
        <w:rPr>
          <w:b/>
          <w:smallCaps/>
          <w:sz w:val="40"/>
        </w:rPr>
      </w:r>
    </w:p>
    <w:p>
      <w:pPr>
        <w:pStyle w:val="Normal"/>
        <w:rPr/>
      </w:pPr>
      <w:r>
        <w:rPr/>
      </w:r>
      <w:r>
        <w:br w:type="page"/>
      </w:r>
    </w:p>
    <w:p>
      <w:pPr>
        <w:pStyle w:val="Normal"/>
        <w:jc w:val="center"/>
        <w:rPr/>
      </w:pPr>
      <w:r>
        <w:rPr/>
      </w:r>
    </w:p>
    <w:p>
      <w:pPr>
        <w:pStyle w:val="Subtitle"/>
        <w:rPr>
          <w:i/>
          <w:i/>
          <w:sz w:val="32"/>
        </w:rPr>
      </w:pPr>
      <w:r>
        <w:rPr>
          <w:i/>
          <w:sz w:val="32"/>
          <w:rPrChange w:id="0" w:author="Unknown Author" w:date="0-00-00T00:00:00Z"/>
        </w:rPr>
        <w:t>State Of California</w:t>
      </w:r>
    </w:p>
    <w:p>
      <w:pPr>
        <w:pStyle w:val="Normal"/>
        <w:jc w:val="center"/>
        <w:rPr>
          <w:b/>
          <w:i/>
          <w:i/>
          <w:sz w:val="32"/>
        </w:rPr>
      </w:pPr>
      <w:r>
        <w:rPr>
          <w:b/>
          <w:i/>
          <w:sz w:val="32"/>
        </w:rPr>
        <w:t>Request for Offers</w:t>
      </w:r>
    </w:p>
    <w:p>
      <w:pPr>
        <w:pStyle w:val="Normal"/>
        <w:jc w:val="center"/>
        <w:rPr>
          <w:b/>
          <w:i/>
          <w:i/>
          <w:sz w:val="32"/>
        </w:rPr>
      </w:pPr>
      <w:r>
        <w:rPr>
          <w:b/>
          <w:i/>
          <w:sz w:val="32"/>
        </w:rPr>
        <w:t>January __, 2001</w:t>
      </w:r>
    </w:p>
    <w:p>
      <w:pPr>
        <w:pStyle w:val="Normal"/>
        <w:jc w:val="center"/>
        <w:rPr>
          <w:b/>
          <w:i/>
          <w:i/>
          <w:sz w:val="32"/>
        </w:rPr>
      </w:pPr>
      <w:r>
        <w:rPr>
          <w:b/>
          <w:i/>
          <w:sz w:val="32"/>
        </w:rPr>
      </w:r>
    </w:p>
    <w:p>
      <w:pPr>
        <w:pStyle w:val="Normal"/>
        <w:rPr/>
      </w:pPr>
      <w:r>
        <w:rPr/>
        <w:t>The State of California (the “State”) hereby issues this request for offers (“RFO”) for electric energy and/or capacity products specified below.  The State requests prospective suppliers to submit offers on or before January __, 2001.</w:t>
      </w:r>
    </w:p>
    <w:p>
      <w:pPr>
        <w:pStyle w:val="Normal"/>
        <w:rPr/>
      </w:pPr>
      <w:r>
        <w:rPr/>
      </w:r>
    </w:p>
    <w:p>
      <w:pPr>
        <w:pStyle w:val="Normal"/>
        <w:rPr/>
      </w:pPr>
      <w:r>
        <w:rPr/>
        <w:t>The terms and quantities are indicated below:</w:t>
      </w:r>
    </w:p>
    <w:p>
      <w:pPr>
        <w:pStyle w:val="Normal"/>
        <w:rPr/>
      </w:pPr>
      <w:r>
        <w:rPr/>
      </w:r>
    </w:p>
    <w:p>
      <w:pPr>
        <w:pStyle w:val="Heading4"/>
        <w:ind w:hanging="0" w:start="0"/>
        <w:rPr>
          <w:u w:val="single"/>
        </w:rPr>
      </w:pPr>
      <w:r>
        <w:rPr>
          <w:u w:val="single"/>
        </w:rPr>
        <w:t>Summary Of Products To Be Offered</w:t>
      </w:r>
    </w:p>
    <w:p>
      <w:pPr>
        <w:pStyle w:val="Heading1"/>
        <w:ind w:hanging="0" w:start="0"/>
        <w:rPr>
          <w:u w:val="none"/>
        </w:rPr>
      </w:pPr>
      <w:r>
        <w:rPr>
          <w:u w:val="none"/>
        </w:rPr>
      </w:r>
    </w:p>
    <w:p>
      <w:pPr>
        <w:pStyle w:val="Normal"/>
        <w:rPr/>
      </w:pPr>
      <w:r>
        <w:rPr/>
        <w:t>Each of the following products may be offered for delivery to any specified point within each of the investor-owned utility service territories.  In addition, each offer may specify the extent to which the offer is either firm or not firm.</w:t>
      </w:r>
    </w:p>
    <w:p>
      <w:pPr>
        <w:pStyle w:val="Header"/>
        <w:tabs>
          <w:tab w:val="clear" w:pos="4320"/>
          <w:tab w:val="clear" w:pos="8640"/>
        </w:tabs>
        <w:ind w:start="720" w:end="0"/>
        <w:rPr/>
      </w:pPr>
      <w:r>
        <w:rPr/>
      </w:r>
    </w:p>
    <w:p>
      <w:pPr>
        <w:pStyle w:val="Normal"/>
        <w:rPr/>
      </w:pPr>
      <w:r>
        <w:rPr/>
        <w:t>The RFO seeks offers for each of the following four types of electric service:</w:t>
      </w:r>
    </w:p>
    <w:p>
      <w:pPr>
        <w:pStyle w:val="Normal"/>
        <w:rPr/>
      </w:pPr>
      <w:r>
        <w:rPr/>
      </w:r>
    </w:p>
    <w:p>
      <w:pPr>
        <w:pStyle w:val="Normal"/>
        <w:numPr>
          <w:ilvl w:val="0"/>
          <w:numId w:val="7"/>
        </w:numPr>
        <w:rPr/>
      </w:pPr>
      <w:r>
        <w:rPr>
          <w:b/>
          <w:u w:val="single"/>
        </w:rPr>
        <w:t>Product 1 – 7 x 24 Energy Standard Product</w:t>
      </w:r>
      <w:r>
        <w:rPr>
          <w:b/>
        </w:rPr>
        <w:t>:</w:t>
      </w:r>
      <w:r>
        <w:rPr/>
        <w:t xml:space="preserve">  This product provides firm energy at a fixed price on standard terms.  Offers shall provide minimum delivery periods of one month, one quarter, one year, or longer.</w:t>
      </w:r>
    </w:p>
    <w:p>
      <w:pPr>
        <w:pStyle w:val="Normal"/>
        <w:numPr>
          <w:ilvl w:val="0"/>
          <w:numId w:val="0"/>
        </w:numPr>
        <w:ind w:hanging="0" w:start="0"/>
        <w:rPr/>
      </w:pPr>
      <w:r>
        <w:rPr/>
      </w:r>
    </w:p>
    <w:p>
      <w:pPr>
        <w:pStyle w:val="Normal"/>
        <w:numPr>
          <w:ilvl w:val="0"/>
          <w:numId w:val="7"/>
        </w:numPr>
        <w:rPr/>
      </w:pPr>
      <w:r>
        <w:rPr>
          <w:b/>
          <w:u w:val="single"/>
        </w:rPr>
        <w:t>Product 2 – 6 x 16 Energy Standard Product</w:t>
      </w:r>
      <w:r>
        <w:rPr>
          <w:b/>
        </w:rPr>
        <w:t>:</w:t>
      </w:r>
      <w:r>
        <w:rPr/>
        <w:t xml:space="preserve">  This product provides firm energy at a fixed price on standard terms.  Offers shall provide minimum delivery periods of one month, one quarter, one year, or longer.</w:t>
      </w:r>
    </w:p>
    <w:p>
      <w:pPr>
        <w:pStyle w:val="Normal"/>
        <w:numPr>
          <w:ilvl w:val="0"/>
          <w:numId w:val="0"/>
        </w:numPr>
        <w:ind w:hanging="0" w:start="0"/>
        <w:rPr/>
      </w:pPr>
      <w:r>
        <w:rPr/>
      </w:r>
    </w:p>
    <w:p>
      <w:pPr>
        <w:pStyle w:val="Normal"/>
        <w:numPr>
          <w:ilvl w:val="0"/>
          <w:numId w:val="7"/>
        </w:numPr>
        <w:rPr/>
      </w:pPr>
      <w:r>
        <w:rPr>
          <w:b/>
          <w:u w:val="single"/>
        </w:rPr>
        <w:t>Product 3 – Capacity with Specified, Minimum Energy Component</w:t>
      </w:r>
      <w:r>
        <w:rPr>
          <w:b/>
        </w:rPr>
        <w:t xml:space="preserve">:  </w:t>
      </w:r>
      <w:r>
        <w:rPr/>
        <w:t xml:space="preserve">This product provides firm capacity and specified amounts of firm energy to be delivered on specified days.  Sellers can fully hedge the fuel supply.  Buyer can shape delivery within facility limits specified by seller;  such shape will be provided to seller on an hourly basis for each delivery day.  On an hourly basis, buyer can use the capacity in excess of the shaped amount.  Energy in excess of the specified amount will be priced to reflect the spot price of natural gas and the marginal cost of emission credits.   Offer shall provide minimum delivery periods of one month, one quarter, one year, or longer.  Sellers should identify any applicable NOx emissions credit costs required to produce energy from specified facilities which would be paid by buyer. </w:t>
      </w:r>
    </w:p>
    <w:p>
      <w:pPr>
        <w:pStyle w:val="Normal"/>
        <w:rPr>
          <w:b/>
          <w:u w:val="single"/>
        </w:rPr>
      </w:pPr>
      <w:r>
        <w:rPr>
          <w:b/>
          <w:u w:val="single"/>
        </w:rPr>
      </w:r>
    </w:p>
    <w:p>
      <w:pPr>
        <w:pStyle w:val="Normal"/>
        <w:numPr>
          <w:ilvl w:val="0"/>
          <w:numId w:val="7"/>
        </w:numPr>
        <w:rPr/>
      </w:pPr>
      <w:r>
        <w:rPr>
          <w:b/>
          <w:u w:val="single"/>
        </w:rPr>
        <w:t>Product 4 – Capacity, including Ancillary Services</w:t>
      </w:r>
      <w:r>
        <w:rPr>
          <w:b/>
        </w:rPr>
        <w:t>:</w:t>
      </w:r>
      <w:r>
        <w:rPr/>
        <w:t xml:space="preserve">  No minimum energy requirement is associated with this product, and all energy called is therefore priced to reflect the spot price of natural gas and the marginal cost of emissions credits, if applicable.  Capability of capacity to provide regulation and to meet requirements for spinning reserve, non-spinning reserve and replacement reserve are to be specified.  Offers shall provide minimum delivery periods of one month, one quarter, one year, or longer</w:t>
      </w:r>
    </w:p>
    <w:p>
      <w:pPr>
        <w:pStyle w:val="Header"/>
        <w:tabs>
          <w:tab w:val="clear" w:pos="4320"/>
          <w:tab w:val="clear" w:pos="8640"/>
        </w:tabs>
        <w:rPr/>
      </w:pPr>
      <w:r>
        <w:rPr/>
      </w:r>
    </w:p>
    <w:p>
      <w:pPr>
        <w:pStyle w:val="Normal"/>
        <w:rPr/>
      </w:pPr>
      <w:r>
        <w:rPr/>
      </w:r>
    </w:p>
    <w:p>
      <w:pPr>
        <w:pStyle w:val="Normal"/>
        <w:rPr/>
      </w:pPr>
      <w:r>
        <w:rPr/>
        <w:t>The State will not consider offers for quantities less than 10 MW.  Bidder should specify its willingness to vary (either increase or decrease) the quantity offered in its bid.</w:t>
      </w:r>
    </w:p>
    <w:p>
      <w:pPr>
        <w:pStyle w:val="Normal"/>
        <w:rPr/>
      </w:pPr>
      <w:r>
        <w:rPr/>
      </w:r>
    </w:p>
    <w:p>
      <w:pPr>
        <w:pStyle w:val="Normal"/>
        <w:rPr/>
      </w:pPr>
      <w:r>
        <w:rPr/>
        <w:t>The Governor and the California Public Utilities Commission (“CPUC”) desire to bring new energy supply sources to California.  Accordingly, we request that you specify, on a voluntary basis, whether the source or sources of the supply you are offering in your bid(s) will result in a dedication of supply to California that might otherwise not be available.</w:t>
      </w:r>
    </w:p>
    <w:p>
      <w:pPr>
        <w:pStyle w:val="Header"/>
        <w:tabs>
          <w:tab w:val="clear" w:pos="4320"/>
          <w:tab w:val="clear" w:pos="8640"/>
        </w:tabs>
        <w:rPr/>
      </w:pPr>
      <w:r>
        <w:rPr/>
      </w:r>
    </w:p>
    <w:p>
      <w:pPr>
        <w:pStyle w:val="Heading1"/>
        <w:ind w:hanging="0" w:start="0"/>
        <w:rPr>
          <w:b w:val="false"/>
        </w:rPr>
      </w:pPr>
      <w:r>
        <w:rPr>
          <w:b w:val="false"/>
        </w:rPr>
        <w:t>Price</w:t>
      </w:r>
    </w:p>
    <w:p>
      <w:pPr>
        <w:pStyle w:val="Heading1"/>
        <w:ind w:hanging="0" w:start="0"/>
        <w:rPr>
          <w:b w:val="false"/>
          <w:u w:val="none"/>
        </w:rPr>
      </w:pPr>
      <w:r>
        <w:rPr>
          <w:b w:val="false"/>
          <w:u w:val="none"/>
        </w:rPr>
      </w:r>
    </w:p>
    <w:p>
      <w:pPr>
        <w:pStyle w:val="Normal"/>
        <w:rPr/>
      </w:pPr>
      <w:r>
        <w:rPr/>
        <w:t>Bidder shall specify the payment it proposes for electrical generating capacity in dollars per megawatt-hour (“MWh”).  Bidders may submit offers for any Product specified in this RFO for delivery at NP15, ZP26, or SP15.  Offers may differ on price, term, volume, and degree of firmness.  Using these bids, the State will attempt to meet the net shortfall position of Edison, PG&amp;E, and SDG&amp;E in the most economically attractive terms with a goal of achieving a weighted-average price of 5.5 ¢/kWh ($55/MWh).</w:t>
      </w:r>
    </w:p>
    <w:p>
      <w:pPr>
        <w:pStyle w:val="Normal"/>
        <w:rPr/>
      </w:pPr>
      <w:r>
        <w:rPr/>
      </w:r>
    </w:p>
    <w:p>
      <w:pPr>
        <w:pStyle w:val="Heading1"/>
        <w:ind w:hanging="0" w:start="0"/>
        <w:rPr>
          <w:b w:val="false"/>
        </w:rPr>
      </w:pPr>
      <w:r>
        <w:rPr>
          <w:b w:val="false"/>
        </w:rPr>
        <w:t>Delivery point</w:t>
      </w:r>
    </w:p>
    <w:p>
      <w:pPr>
        <w:pStyle w:val="Normal"/>
        <w:rPr>
          <w:b/>
        </w:rPr>
      </w:pPr>
      <w:r>
        <w:rPr>
          <w:b/>
        </w:rPr>
      </w:r>
    </w:p>
    <w:p>
      <w:pPr>
        <w:pStyle w:val="Normal"/>
        <w:rPr>
          <w:b/>
        </w:rPr>
      </w:pPr>
      <w:r>
        <w:rPr/>
        <w:t>Each of the products identified above may be offered for delivery to any specified point within the service territories of Edison, PG&amp;E, and SDG&amp;E and as more specifically provided below.  For delivery within the service territory of Edison, the State prefers to take delivery within the California Independent System Operator (“CAISO”) zone South of Path 15 (“SP15”) or ZP15, but will consider other points of delivery within or at a point of interconnection with the CAISO control area.</w:t>
      </w:r>
      <w:r>
        <w:rPr>
          <w:b/>
        </w:rPr>
        <w:t xml:space="preserve"> </w:t>
      </w:r>
      <w:r>
        <w:rPr/>
        <w:t>For delivery within the service territory of SDG&amp;E, the State prefers to take delivery within the CAISO zone South of Path 15 (“SP15”), but will consider other points of delivery within or at a point of interconnection with the CAISO control area. For delivery within the service territory of PG&amp;E, the State prefers to take delivery within the CAISO zone North of Path 15 (“NP15”) or ZP26, but will consider other points of delivery within or at a point of interconnection with the CAISO control area.  Bidder shall specify the point(s) of delivery as NP 15, ZP 26, or SP 15 for purposes of satisfying the needs identified in a separate attachment to this RFO.</w:t>
      </w:r>
    </w:p>
    <w:p>
      <w:pPr>
        <w:pStyle w:val="Normal"/>
        <w:rPr>
          <w:b/>
        </w:rPr>
      </w:pPr>
      <w:r>
        <w:rPr>
          <w:b/>
        </w:rPr>
      </w:r>
    </w:p>
    <w:p>
      <w:pPr>
        <w:pStyle w:val="Heading3"/>
        <w:ind w:hanging="0" w:start="0"/>
        <w:rPr/>
      </w:pPr>
      <w:r>
        <w:rPr/>
        <w:t xml:space="preserve">Term </w:t>
      </w:r>
    </w:p>
    <w:p>
      <w:pPr>
        <w:pStyle w:val="Heading3"/>
        <w:ind w:hanging="0" w:start="0"/>
        <w:rPr>
          <w:b w:val="false"/>
          <w:u w:val="none"/>
        </w:rPr>
      </w:pPr>
      <w:r>
        <w:rPr>
          <w:b w:val="false"/>
          <w:u w:val="none"/>
        </w:rPr>
      </w:r>
    </w:p>
    <w:p>
      <w:pPr>
        <w:pStyle w:val="Heading3"/>
        <w:ind w:hanging="0" w:start="0"/>
        <w:rPr>
          <w:b w:val="false"/>
          <w:u w:val="none"/>
        </w:rPr>
      </w:pPr>
      <w:r>
        <w:rPr>
          <w:b w:val="false"/>
          <w:u w:val="none"/>
        </w:rPr>
        <w:t>Seller may propose any or all of the following as the date or dates on which Seller agrees to commence deliveries to the State:</w:t>
      </w:r>
    </w:p>
    <w:p>
      <w:pPr>
        <w:pStyle w:val="Heading3"/>
        <w:ind w:hanging="0" w:start="0"/>
        <w:rPr>
          <w:b w:val="false"/>
          <w:u w:val="none"/>
        </w:rPr>
      </w:pPr>
      <w:r>
        <w:rPr>
          <w:b w:val="false"/>
          <w:u w:val="none"/>
        </w:rPr>
      </w:r>
    </w:p>
    <w:p>
      <w:pPr>
        <w:pStyle w:val="Heading3"/>
        <w:ind w:hanging="0" w:start="720" w:end="0"/>
        <w:rPr>
          <w:b w:val="false"/>
          <w:u w:val="none"/>
        </w:rPr>
      </w:pPr>
      <w:r>
        <w:rPr>
          <w:b w:val="false"/>
          <w:u w:val="none"/>
        </w:rPr>
        <w:t>February 1, 2001</w:t>
      </w:r>
    </w:p>
    <w:p>
      <w:pPr>
        <w:pStyle w:val="Heading3"/>
        <w:ind w:hanging="0" w:start="720" w:end="0"/>
        <w:rPr>
          <w:b w:val="false"/>
          <w:u w:val="none"/>
        </w:rPr>
      </w:pPr>
      <w:r>
        <w:rPr>
          <w:b w:val="false"/>
          <w:u w:val="none"/>
        </w:rPr>
        <w:t>April 1, 2001</w:t>
      </w:r>
    </w:p>
    <w:p>
      <w:pPr>
        <w:pStyle w:val="Heading3"/>
        <w:ind w:hanging="0" w:start="720" w:end="0"/>
        <w:rPr>
          <w:b w:val="false"/>
          <w:u w:val="none"/>
        </w:rPr>
      </w:pPr>
      <w:r>
        <w:rPr>
          <w:b w:val="false"/>
          <w:u w:val="none"/>
        </w:rPr>
        <w:t>July 1, 2001</w:t>
      </w:r>
    </w:p>
    <w:p>
      <w:pPr>
        <w:pStyle w:val="Normal"/>
        <w:rPr>
          <w:b/>
          <w:u w:val="none"/>
        </w:rPr>
      </w:pPr>
      <w:r>
        <w:rPr>
          <w:b/>
          <w:u w:val="none"/>
        </w:rPr>
      </w:r>
    </w:p>
    <w:p>
      <w:pPr>
        <w:pStyle w:val="Normal"/>
        <w:rPr/>
      </w:pPr>
      <w:r>
        <w:rPr/>
        <w:t>The term of any agreement arising out of this RFO shall not exceed __ 15 years. [There is no required end date for deliveries.]</w:t>
      </w:r>
    </w:p>
    <w:p>
      <w:pPr>
        <w:pStyle w:val="Normal"/>
        <w:rPr/>
      </w:pPr>
      <w:r>
        <w:rPr/>
      </w:r>
    </w:p>
    <w:p>
      <w:pPr>
        <w:pStyle w:val="Heading3"/>
        <w:ind w:hanging="0" w:start="0"/>
        <w:rPr/>
      </w:pPr>
      <w:r>
        <w:rPr/>
        <w:t>Corporate Guarantee</w:t>
      </w:r>
    </w:p>
    <w:p>
      <w:pPr>
        <w:pStyle w:val="Normal"/>
        <w:rPr/>
      </w:pPr>
      <w:r>
        <w:rPr/>
      </w:r>
    </w:p>
    <w:p>
      <w:pPr>
        <w:pStyle w:val="Normal"/>
        <w:rPr/>
      </w:pPr>
      <w:r>
        <w:rPr/>
        <w:t>Seller shall execute the State’s Standard Guarantee form forwarded under separate cover.  Seller shall submit, as soon as possible, but no later than 6 A.M. Pacific Time on January __, 2001 any requested revisions or additions to the State’s Standard Guarantee form.  The State shall consider and accept reasonable revisions or additions.</w:t>
      </w:r>
    </w:p>
    <w:p>
      <w:pPr>
        <w:pStyle w:val="Normal"/>
        <w:rPr/>
      </w:pPr>
      <w:r>
        <w:rPr/>
      </w:r>
    </w:p>
    <w:p>
      <w:pPr>
        <w:pStyle w:val="Normal"/>
        <w:rPr/>
      </w:pPr>
      <w:r>
        <w:rPr/>
        <w:t xml:space="preserve">Seller will be required to complete and return a signed Standard Guarantee form to the State, upon acceptance of Seller’s offer by the State. </w:t>
      </w:r>
    </w:p>
    <w:p>
      <w:pPr>
        <w:pStyle w:val="Normal"/>
        <w:rPr/>
      </w:pPr>
      <w:r>
        <w:rPr/>
      </w:r>
    </w:p>
    <w:p>
      <w:pPr>
        <w:pStyle w:val="Heading3"/>
        <w:ind w:hanging="0" w:start="0"/>
        <w:rPr/>
      </w:pPr>
      <w:r>
        <w:rPr/>
        <w:t>Contract and Confirmation</w:t>
      </w:r>
    </w:p>
    <w:p>
      <w:pPr>
        <w:pStyle w:val="Normal"/>
        <w:rPr/>
      </w:pPr>
      <w:r>
        <w:rPr/>
        <w:t>A standard Confirmation and Cover Page for the EEI Agreement are forwarded under separate cover as Exhibit A and Attachment 2 respectively. Seller shall submit, as soon as possible but no later than 6 A.M Pacific Time on January __, 2001 respectively, any requested revisions or additions to the State’s standard Confirmation and Cover Page.  The State shall be under no obligation to accept any revisions or additions.</w:t>
      </w:r>
    </w:p>
    <w:p>
      <w:pPr>
        <w:pStyle w:val="Normal"/>
        <w:rPr/>
      </w:pPr>
      <w:r>
        <w:rPr/>
      </w:r>
    </w:p>
    <w:p>
      <w:pPr>
        <w:pStyle w:val="Normal"/>
        <w:rPr/>
      </w:pPr>
      <w:r>
        <w:rPr/>
        <w:t xml:space="preserve">Seller will be required to complete and return the signed Confirmation form to the State, upon acceptance of Seller’s offer by the State. </w:t>
      </w:r>
    </w:p>
    <w:p>
      <w:pPr>
        <w:pStyle w:val="Normal"/>
        <w:rPr/>
      </w:pPr>
      <w:r>
        <w:rPr/>
      </w:r>
    </w:p>
    <w:p>
      <w:pPr>
        <w:pStyle w:val="Heading2"/>
        <w:ind w:hanging="0" w:start="0"/>
        <w:rPr/>
      </w:pPr>
      <w:r>
        <w:rPr/>
        <w:t>Offer Submission</w:t>
      </w:r>
    </w:p>
    <w:p>
      <w:pPr>
        <w:pStyle w:val="Normal"/>
        <w:rPr>
          <w:b/>
        </w:rPr>
      </w:pPr>
      <w:r>
        <w:rPr>
          <w:b/>
        </w:rPr>
        <w:t>Offers should be sent electronically to the attention of __________ at:</w:t>
      </w:r>
    </w:p>
    <w:p>
      <w:pPr>
        <w:pStyle w:val="Normal"/>
        <w:rPr/>
      </w:pPr>
      <w:r>
        <w:rPr/>
      </w:r>
    </w:p>
    <w:p>
      <w:pPr>
        <w:pStyle w:val="Header"/>
        <w:tabs>
          <w:tab w:val="clear" w:pos="4320"/>
          <w:tab w:val="clear" w:pos="8640"/>
        </w:tabs>
        <w:rPr>
          <w:b/>
        </w:rPr>
      </w:pPr>
      <w:r>
        <w:rPr>
          <w:b/>
        </w:rPr>
        <w:t>E-mail:</w:t>
        <w:tab/>
        <w:t>______________</w:t>
      </w:r>
    </w:p>
    <w:p>
      <w:pPr>
        <w:pStyle w:val="Header"/>
        <w:tabs>
          <w:tab w:val="clear" w:pos="4320"/>
          <w:tab w:val="clear" w:pos="8640"/>
        </w:tabs>
        <w:rPr>
          <w:b/>
        </w:rPr>
      </w:pPr>
      <w:r>
        <w:rPr>
          <w:b/>
        </w:rPr>
      </w:r>
    </w:p>
    <w:p>
      <w:pPr>
        <w:pStyle w:val="Normal"/>
        <w:rPr/>
      </w:pPr>
      <w:r>
        <w:rPr/>
        <w:t>Phone</w:t>
        <w:tab/>
        <w:tab/>
      </w:r>
      <w:r>
        <w:rPr>
          <w:b/>
        </w:rPr>
        <w:t>______________</w:t>
      </w:r>
    </w:p>
    <w:p>
      <w:pPr>
        <w:pStyle w:val="Normal"/>
        <w:rPr/>
      </w:pPr>
      <w:r>
        <w:rPr/>
      </w:r>
    </w:p>
    <w:p>
      <w:pPr>
        <w:pStyle w:val="Normal"/>
        <w:rPr/>
      </w:pPr>
      <w:r>
        <w:rPr/>
        <w:t>Address:</w:t>
        <w:tab/>
      </w:r>
      <w:r>
        <w:rPr>
          <w:b/>
        </w:rPr>
        <w:t>______________</w:t>
      </w:r>
    </w:p>
    <w:p>
      <w:pPr>
        <w:pStyle w:val="Normal"/>
        <w:rPr/>
      </w:pPr>
      <w:r>
        <w:rPr/>
        <w:tab/>
        <w:tab/>
      </w:r>
      <w:r>
        <w:rPr>
          <w:b/>
        </w:rPr>
        <w:t>______________</w:t>
      </w:r>
    </w:p>
    <w:p>
      <w:pPr>
        <w:pStyle w:val="Normal"/>
        <w:rPr/>
      </w:pPr>
      <w:r>
        <w:rPr/>
        <w:tab/>
        <w:tab/>
      </w:r>
      <w:r>
        <w:rPr>
          <w:b/>
        </w:rPr>
        <w:t>______________</w:t>
      </w:r>
    </w:p>
    <w:p>
      <w:pPr>
        <w:pStyle w:val="Normal"/>
        <w:rPr/>
      </w:pPr>
      <w:r>
        <w:rPr/>
      </w:r>
    </w:p>
    <w:p>
      <w:pPr>
        <w:pStyle w:val="Normal"/>
        <w:rPr/>
      </w:pPr>
      <w:r>
        <w:rPr/>
        <w:t xml:space="preserve">Additionally, Bidders should provide an electronic copy of Attachment A to this RFO to </w:t>
      </w:r>
      <w:r>
        <w:rPr>
          <w:b/>
        </w:rPr>
        <w:t>______________</w:t>
      </w:r>
      <w:r>
        <w:rPr/>
        <w:t xml:space="preserve"> at </w:t>
      </w:r>
      <w:r>
        <w:rPr>
          <w:b/>
        </w:rPr>
        <w:t>______________</w:t>
      </w:r>
      <w:r>
        <w:rPr/>
        <w:t xml:space="preserve"> @___.___ </w:t>
      </w:r>
    </w:p>
    <w:p>
      <w:pPr>
        <w:pStyle w:val="Normal"/>
        <w:rPr/>
      </w:pPr>
      <w:r>
        <w:rPr/>
      </w:r>
    </w:p>
    <w:p>
      <w:pPr>
        <w:pStyle w:val="Heading3"/>
        <w:ind w:hanging="0" w:start="0"/>
        <w:rPr/>
      </w:pPr>
      <w:r>
        <w:rPr/>
        <w:t>Offer Submission Schedule</w:t>
      </w:r>
    </w:p>
    <w:p>
      <w:pPr>
        <w:pStyle w:val="Normal"/>
        <w:rPr/>
      </w:pPr>
      <w:r>
        <w:rPr/>
      </w:r>
    </w:p>
    <w:p>
      <w:pPr>
        <w:pStyle w:val="Normal"/>
        <w:rPr/>
      </w:pPr>
      <w:r>
        <w:rPr/>
        <w:t xml:space="preserve">Offers must be received by the State in writing </w:t>
      </w:r>
      <w:r>
        <w:rPr>
          <w:b/>
          <w:u w:val="single"/>
        </w:rPr>
        <w:t>no later than 8 A.M., Pacific Time on January __, 2001.</w:t>
      </w:r>
      <w:r>
        <w:rPr/>
        <w:t xml:space="preserve">  </w:t>
      </w:r>
    </w:p>
    <w:p>
      <w:pPr>
        <w:pStyle w:val="Normal"/>
        <w:tabs>
          <w:tab w:val="clear" w:pos="720"/>
          <w:tab w:val="left" w:pos="1080" w:leader="none"/>
        </w:tabs>
        <w:ind w:start="1080" w:end="0"/>
        <w:rPr/>
      </w:pPr>
      <w:r>
        <w:rPr/>
      </w:r>
    </w:p>
    <w:p>
      <w:pPr>
        <w:pStyle w:val="Normal"/>
        <w:rPr/>
      </w:pPr>
      <w:r>
        <w:rPr/>
      </w:r>
    </w:p>
    <w:p>
      <w:pPr>
        <w:pStyle w:val="Normal"/>
        <w:rPr/>
      </w:pPr>
      <w:r>
        <w:rPr/>
        <w:t xml:space="preserve">The schedule above is subject to change and, as more fully set forth below, </w:t>
      </w:r>
      <w:r>
        <w:rPr>
          <w:b/>
        </w:rPr>
        <w:t>the State makes no representation by this schedule or RFO that it will enter into any agreements as a result of this process.</w:t>
      </w:r>
    </w:p>
    <w:p>
      <w:pPr>
        <w:pStyle w:val="Header"/>
        <w:tabs>
          <w:tab w:val="clear" w:pos="4320"/>
          <w:tab w:val="clear" w:pos="8640"/>
        </w:tabs>
        <w:rPr>
          <w:b/>
        </w:rPr>
      </w:pPr>
      <w:r>
        <w:rPr>
          <w:b/>
        </w:rPr>
      </w:r>
    </w:p>
    <w:p>
      <w:pPr>
        <w:pStyle w:val="BodyText"/>
        <w:rPr>
          <w:sz w:val="24"/>
        </w:rPr>
      </w:pPr>
      <w:r>
        <w:rPr>
          <w:sz w:val="24"/>
        </w:rPr>
        <w:t>Until offers are accepted and a confirmation is executed, Bidders agree that the content of their offer(s) shall remain confidential and that neither the Bidder nor the State will disclose the content of that proposal without the consent of the other; provided, however, notwithstanding the forgoing, by submitting an offer, bidders agree that the State may submit the bidder’s offer(s) to the CPUC, the Federal Energy Regulatory Commission (“FERC”), the Power Exchange (“PX”) or both provided that the State requests confidential treatment for such submission.  If either Party is compelled by state law, court order, the CPUC, the FERC, or other regulatory agency or regulatory requirement or other legal process, binding on such Party, to disclose such confidential information, such Party shall provide advance written notice to the other Party and, at the expense of the other Party, shall cooperate fully in allowing such Party to obtain a protective order or other means of protecting its interests.</w:t>
      </w:r>
    </w:p>
    <w:p>
      <w:pPr>
        <w:pStyle w:val="BodyText"/>
        <w:rPr>
          <w:sz w:val="24"/>
        </w:rPr>
      </w:pPr>
      <w:r>
        <w:rPr>
          <w:sz w:val="24"/>
        </w:rPr>
      </w:r>
    </w:p>
    <w:p>
      <w:pPr>
        <w:pStyle w:val="Normal"/>
        <w:rPr/>
      </w:pPr>
      <w:r>
        <w:rPr/>
        <w:t>By submitting an offer in response to this RFO, the Bidder acknowledges and agrees that:  (1) its offer shall remain irrevocable until _____ A.M./P.M. Pacific Time on January __, 2001 and shall remain open after that time unless and until revoked by Bidder in writing to the State; (2) the State may accept the offer by providing Bidder notice of acceptance in writing delivered via facsimile, or electronic mail, provided, however, the State’s acceptance is subject to: (a) the Bidder’s and the State’s execution of the State’s Standard Guarantee, an EEI Master Power Purchase &amp; Sale Agreement (the “EEI Agreement”), Cover Sheet, and a Confirmation respecting the offer(s), and (b) the receipt by the Bidder or the State, as the case may be, of any and all necessary regulatory approvals; (3) Bidder hereby confirms that should this offer be acceptable to the State, and the State delivers timely notice of such acceptance to Bidder, Bidder will be obligated to promptly execute and deliver the State’s Standard Guarantee, the EEI Agreement, Cover Sheet, and Confirmation agreement; (4) the State has, or will have, no obligations unless and until Bidder executes the State’s Standard Guarantee, the EEI Agreement, Cover Sheet, and Confirmation agreement and both the EEI Agreement, Cover Sheet and Confirmation agreement are executed and delivered by the State to Bidder; (5) as of the date of its offer and throughout the period during which the offer remains open, all information, statements, representations, and warranties made or provided by Bidder in its offer are accurate and true to the best of Bidder’s knowledge; (6) the State will rely on the terms of this offer in considering the Bidder’s offer; and (7) Bidder has or will obtain the transmission necessary to effect delivery of the power set forth in its offer.</w:t>
      </w:r>
    </w:p>
    <w:p>
      <w:pPr>
        <w:pStyle w:val="Normal"/>
        <w:rPr/>
      </w:pPr>
      <w:r>
        <w:rPr/>
      </w:r>
    </w:p>
    <w:p>
      <w:pPr>
        <w:pStyle w:val="Normal"/>
        <w:rPr/>
      </w:pPr>
      <w:r>
        <w:rPr/>
        <w:t xml:space="preserve">The EEI Agreement will be used as the underlying contract.  Consideration of the proposals and consummation of the transaction are subject to the Bidder either (1) being an investment grade entity, or (2) providing satisfactory credit support (e.g., Letters of Credit, corporate performance guarantees).  If, as determined in the State’s sole discretion, the State receives more bids than required for each product at equivalent prices, the State will apply a non-discriminatory tiebreaker that may include a lottery or pro rata allocation or such other mechanism as the State, in its sole discretion, deems appropriate.  Bidder should indicate in its offer whether it would reject a pro-rata reduction of its original offer.  The State will interpret a Bidder’s failure to indicate their willingness to accept a pro rata reduction as an indication that the bidder </w:t>
      </w:r>
      <w:r>
        <w:rPr>
          <w:u w:val="single"/>
        </w:rPr>
        <w:t>will</w:t>
      </w:r>
      <w:r>
        <w:rPr/>
        <w:t xml:space="preserve"> accept a pro rata reduction.</w:t>
      </w:r>
    </w:p>
    <w:p>
      <w:pPr>
        <w:pStyle w:val="Normal"/>
        <w:rPr/>
      </w:pPr>
      <w:r>
        <w:rPr/>
      </w:r>
    </w:p>
    <w:p>
      <w:pPr>
        <w:pStyle w:val="BodyText2"/>
        <w:rPr/>
      </w:pPr>
      <w:r>
        <w:rPr/>
        <w:t xml:space="preserve">THE STATE RESERVES THE RIGHT AT ANY TIME, IN ITS SOLE DISCRETION, TO ABANDON THIS BIDDING PROCESS, TO CHANGE THE BASIS FOR EVALUATION OF BIDS, TO TERMINATE FURTHER PARTICIPATION IN THIS PROCESS BY ANY PARTY, TO ACCEPT ANY PROPOSAL OR TO ENTER INTO ANY DEFINITIVE AGREEMENT, TO EVALUATE THE QUALIFICATIONS OF ANY BIDDER OR THE </w:t>
      </w:r>
      <w:bookmarkStart w:id="0" w:name="OP3_01sOmkiY"/>
      <w:bookmarkStart w:id="1" w:name="S67_tendons_tenons_tenpins_teens_terns"/>
      <w:bookmarkEnd w:id="1"/>
      <w:r>
        <w:rPr/>
        <w:t xml:space="preserve">TERMS </w:t>
      </w:r>
      <w:bookmarkEnd w:id="0"/>
      <w:r>
        <w:rPr/>
        <w:t xml:space="preserve">AND CONDITIONS OF ANY PROPOSAL, AND TO REJECT ANY OR ALL PROPOSALS OR BIDS, ALL WITHOUT NOTICE AND WITHOUT ASSIGNING ANY REASONS AND </w:t>
      </w:r>
      <w:bookmarkStart w:id="2" w:name="OP3_L4P8lmh0"/>
      <w:bookmarkStart w:id="3" w:name="S68_without_Without"/>
      <w:bookmarkEnd w:id="3"/>
      <w:r>
        <w:rPr/>
        <w:t xml:space="preserve">WITHOUT </w:t>
      </w:r>
      <w:bookmarkStart w:id="4" w:name="OP3_e3WXnmj0"/>
      <w:bookmarkStart w:id="5" w:name="S69_Habitat_habitat"/>
      <w:bookmarkEnd w:id="2"/>
      <w:bookmarkEnd w:id="5"/>
      <w:r>
        <w:rPr/>
        <w:t>LIABILITY</w:t>
      </w:r>
      <w:bookmarkStart w:id="6" w:name="OP3_AcFVwnq0"/>
      <w:bookmarkStart w:id="7" w:name="S71_a"/>
      <w:bookmarkStart w:id="8" w:name="S70_a"/>
      <w:bookmarkEnd w:id="4"/>
      <w:bookmarkEnd w:id="7"/>
      <w:bookmarkEnd w:id="8"/>
      <w:r>
        <w:rPr/>
        <w:t xml:space="preserve"> OF THE STATE </w:t>
      </w:r>
      <w:bookmarkEnd w:id="6"/>
      <w:r>
        <w:rPr/>
        <w:t xml:space="preserve">OR ANY OF </w:t>
      </w:r>
      <w:bookmarkStart w:id="9" w:name="OP3_l1y3cng1"/>
      <w:bookmarkStart w:id="10" w:name="S72"/>
      <w:bookmarkEnd w:id="10"/>
      <w:r>
        <w:rPr/>
        <w:t>THEIR SUBSIDIARIES, AFFILIATES OR REPRESENTATIVES TO ANY BIDDER</w:t>
      </w:r>
      <w:bookmarkStart w:id="11" w:name="OP3_w3Zldoc2"/>
      <w:bookmarkStart w:id="12" w:name="S73"/>
      <w:bookmarkEnd w:id="9"/>
      <w:bookmarkEnd w:id="12"/>
      <w:r>
        <w:rPr/>
        <w:t xml:space="preserve">. THE STATE SHALL </w:t>
      </w:r>
      <w:bookmarkEnd w:id="11"/>
      <w:r>
        <w:rPr/>
        <w:t>HAVE NO OBLIGATION TO CONSIDER ANY PROPOSAL</w:t>
      </w:r>
      <w:bookmarkStart w:id="13" w:name="OP3_jivcdqc3"/>
      <w:bookmarkStart w:id="14" w:name="S74"/>
      <w:bookmarkEnd w:id="14"/>
      <w:r>
        <w:rPr/>
        <w:t xml:space="preserve">. THE STATE WILL </w:t>
      </w:r>
      <w:bookmarkEnd w:id="13"/>
      <w:r>
        <w:rPr/>
        <w:t>NOT REIMBURSE BIDDERS FOR THEIR EXPENSES UNDER ANY CIRCUMSTANCES, REGARDLESS OF WHETHER THE BIDDING PROCESS PROCEEDS TO A SUCCESSFUL CONCLUSION OR IS ABANDONED.</w:t>
      </w:r>
    </w:p>
    <w:p>
      <w:pPr>
        <w:pStyle w:val="BodyText2"/>
        <w:rPr/>
      </w:pPr>
      <w:r>
        <w:rPr/>
      </w:r>
      <w:r>
        <w:br w:type="page"/>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smallCaps/>
          <w:sz w:val="40"/>
        </w:rPr>
      </w:pPr>
      <w:r>
        <w:rPr>
          <w:b/>
          <w:smallCaps/>
          <w:sz w:val="40"/>
        </w:rPr>
        <w:t>Tab B</w:t>
      </w:r>
    </w:p>
    <w:p>
      <w:pPr>
        <w:pStyle w:val="Normal"/>
        <w:jc w:val="center"/>
        <w:rPr>
          <w:b/>
          <w:smallCaps/>
          <w:sz w:val="40"/>
        </w:rPr>
      </w:pPr>
      <w:r>
        <w:rPr>
          <w:b/>
          <w:smallCaps/>
          <w:sz w:val="40"/>
        </w:rPr>
        <w:t>Draft Contract</w:t>
      </w:r>
    </w:p>
    <w:p>
      <w:pPr>
        <w:pStyle w:val="Normal"/>
        <w:rPr>
          <w:b/>
          <w:smallCaps/>
          <w:sz w:val="40"/>
        </w:rPr>
      </w:pPr>
      <w:r>
        <w:rPr>
          <w:b/>
          <w:smallCaps/>
          <w:sz w:val="40"/>
        </w:rPr>
      </w:r>
      <w:r>
        <w:br w:type="page"/>
      </w:r>
    </w:p>
    <w:p>
      <w:pPr>
        <w:pStyle w:val="Heading"/>
        <w:spacing w:before="0" w:after="120"/>
        <w:rPr>
          <w:caps/>
          <w:u w:val="single"/>
        </w:rPr>
      </w:pPr>
      <w:r>
        <w:rPr>
          <w:caps/>
          <w:u w:val="single"/>
        </w:rPr>
      </w:r>
    </w:p>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u w:val="single"/>
        </w:rPr>
      </w:pPr>
      <w:r>
        <w:rPr>
          <w:u w:val="single"/>
        </w:rPr>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w:t>
        <w:tab/>
      </w:r>
    </w:p>
    <w:p>
      <w:pPr>
        <w:pStyle w:val="coverbody"/>
        <w:spacing w:before="0" w:after="120"/>
        <w:ind w:firstLine="720" w:end="0"/>
        <w:rPr/>
      </w:pPr>
      <w:r>
        <w:rPr/>
        <w:t xml:space="preserve">WHEREAS, [in the context of a settlement approved by the Federal Energy Regulatory Commission [CITE],] Party B (defined below) solicited offers for numerous electric products through a Request for Offers process conducted in </w:t>
      </w:r>
      <w:r>
        <w:rPr>
          <w:b/>
        </w:rPr>
        <w:t>[February]</w:t>
      </w:r>
      <w:r>
        <w:rPr/>
        <w:t xml:space="preserve"> 2001 (the “RFO”);</w:t>
      </w:r>
    </w:p>
    <w:p>
      <w:pPr>
        <w:pStyle w:val="coverbody"/>
        <w:spacing w:before="0" w:after="120"/>
        <w:rPr/>
      </w:pPr>
      <w:r>
        <w:rPr/>
        <w:tab/>
        <w:t xml:space="preserve">WHEREAS, the RFO was conducted as part of a comprehensive plan for restoring the financial health of certain California investor owned utilities and otherwise stabilizing California electricity markets; </w:t>
      </w:r>
    </w:p>
    <w:p>
      <w:pPr>
        <w:pStyle w:val="coverbody"/>
        <w:spacing w:before="0" w:after="120"/>
        <w:rPr/>
      </w:pPr>
      <w:r>
        <w:rPr/>
        <w:tab/>
        <w:t>WHEREAS, Party A (defined below) submitted one or more bids pursuant to its market-based rate authority granted by the Federal Energy Regulatory Commission ([CITE]); and</w:t>
      </w:r>
    </w:p>
    <w:p>
      <w:pPr>
        <w:pStyle w:val="coverbody"/>
        <w:spacing w:before="0" w:after="120"/>
        <w:ind w:firstLine="720" w:end="0"/>
        <w:rPr/>
      </w:pPr>
      <w:r>
        <w:rPr/>
        <w:t>WHEREAS, Party A was awarded one or more transactions pursuant to the RFP.</w:t>
        <w:tab/>
      </w:r>
    </w:p>
    <w:p>
      <w:pPr>
        <w:pStyle w:val="coverbody"/>
        <w:spacing w:before="0" w:after="120"/>
        <w:rPr/>
      </w:pPr>
      <w:r>
        <w:rPr/>
        <w:tab/>
        <w:t>NOW, THEREFORE:</w:t>
      </w:r>
    </w:p>
    <w:p>
      <w:pPr>
        <w:pStyle w:val="coverbody"/>
        <w:spacing w:before="0" w:after="120"/>
        <w:rPr/>
      </w:pPr>
      <w:r>
        <w:rPr/>
        <w:t xml:space="preserve">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sz w:val="20"/>
              </w:rPr>
              <w:t>Name:</w:t>
            </w:r>
            <w:r>
              <w:rPr>
                <w:sz w:val="20"/>
              </w:rPr>
              <w:t xml:space="preserve"> [Name of Supplier]. ("Party A")</w:t>
            </w:r>
          </w:p>
        </w:tc>
        <w:tc>
          <w:tcPr>
            <w:tcW w:w="5760" w:type="dxa"/>
            <w:tcBorders/>
          </w:tcPr>
          <w:p>
            <w:pPr>
              <w:pStyle w:val="Normal"/>
              <w:tabs>
                <w:tab w:val="clear" w:pos="720"/>
                <w:tab w:val="right" w:pos="4475" w:leader="none"/>
              </w:tabs>
              <w:spacing w:before="0" w:after="120"/>
              <w:rPr/>
            </w:pPr>
            <w:r>
              <w:rPr>
                <w:b/>
                <w:sz w:val="20"/>
              </w:rPr>
              <w:t>Name:</w:t>
            </w:r>
            <w:r>
              <w:rPr>
                <w:sz w:val="20"/>
              </w:rPr>
              <w:t xml:space="preserve"> [Name of State Agency]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_______________________</w:t>
              <w:br/>
              <w:tab/>
              <w:t>_______________________</w:t>
            </w:r>
          </w:p>
        </w:tc>
        <w:tc>
          <w:tcPr>
            <w:tcW w:w="576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_______________________</w:t>
              <w:br/>
              <w:tab/>
              <w:t>_______________________</w:t>
            </w:r>
          </w:p>
        </w:tc>
      </w:tr>
      <w:tr>
        <w:trPr/>
        <w:tc>
          <w:tcPr>
            <w:tcW w:w="5220" w:type="dxa"/>
            <w:tcBorders/>
          </w:tcPr>
          <w:p>
            <w:pPr>
              <w:pStyle w:val="Normal"/>
              <w:tabs>
                <w:tab w:val="clear" w:pos="720"/>
                <w:tab w:val="right" w:pos="4320" w:leader="none"/>
              </w:tabs>
              <w:spacing w:before="0" w:after="120"/>
              <w:rPr>
                <w:sz w:val="20"/>
              </w:rPr>
            </w:pPr>
            <w:r>
              <w:rPr>
                <w:sz w:val="20"/>
              </w:rPr>
              <w:t>Street:  ____________________________</w:t>
            </w:r>
          </w:p>
        </w:tc>
        <w:tc>
          <w:tcPr>
            <w:tcW w:w="5760" w:type="dxa"/>
            <w:tcBorders/>
          </w:tcPr>
          <w:p>
            <w:pPr>
              <w:pStyle w:val="Normal"/>
              <w:tabs>
                <w:tab w:val="clear" w:pos="720"/>
                <w:tab w:val="right" w:pos="4320" w:leader="none"/>
              </w:tabs>
              <w:spacing w:before="0" w:after="120"/>
              <w:rPr>
                <w:sz w:val="20"/>
              </w:rPr>
            </w:pPr>
            <w:r>
              <w:rPr>
                <w:sz w:val="20"/>
              </w:rPr>
              <w:t>Street:  ____________________________</w:t>
            </w:r>
          </w:p>
        </w:tc>
      </w:tr>
      <w:tr>
        <w:trPr/>
        <w:tc>
          <w:tcPr>
            <w:tcW w:w="5220" w:type="dxa"/>
            <w:tcBorders/>
          </w:tcPr>
          <w:p>
            <w:pPr>
              <w:pStyle w:val="MacroText"/>
              <w:tabs>
                <w:tab w:val="clear" w:pos="480"/>
                <w:tab w:val="clear" w:pos="960"/>
                <w:tab w:val="clear" w:pos="1440"/>
                <w:tab w:val="clear" w:pos="1920"/>
                <w:tab w:val="clear" w:pos="2400"/>
                <w:tab w:val="clear" w:pos="3360"/>
                <w:tab w:val="clear" w:pos="3840"/>
                <w:tab w:val="left" w:pos="2880" w:leader="none"/>
                <w:tab w:val="right" w:pos="4320" w:leader="none"/>
              </w:tabs>
              <w:spacing w:before="0" w:after="120"/>
              <w:rPr>
                <w:rFonts w:ascii="Times New Roman" w:hAnsi="Times New Roman" w:cs="Times New Roman"/>
              </w:rPr>
            </w:pPr>
            <w:r>
              <w:rPr>
                <w:rFonts w:cs="Times New Roman" w:ascii="Times New Roman" w:hAnsi="Times New Roman"/>
              </w:rPr>
              <w:t>City:   _____________</w:t>
              <w:tab/>
              <w:t>Zip: _________</w:t>
            </w:r>
          </w:p>
        </w:tc>
        <w:tc>
          <w:tcPr>
            <w:tcW w:w="5760" w:type="dxa"/>
            <w:tcBorders/>
          </w:tcPr>
          <w:p>
            <w:pPr>
              <w:pStyle w:val="MacroText"/>
              <w:tabs>
                <w:tab w:val="clear" w:pos="480"/>
                <w:tab w:val="clear" w:pos="960"/>
                <w:tab w:val="clear" w:pos="1440"/>
                <w:tab w:val="clear" w:pos="1920"/>
                <w:tab w:val="clear" w:pos="2400"/>
                <w:tab w:val="clear" w:pos="3360"/>
                <w:tab w:val="clear" w:pos="3840"/>
                <w:tab w:val="left" w:pos="2880" w:leader="none"/>
                <w:tab w:val="right" w:pos="4320" w:leader="none"/>
              </w:tabs>
              <w:spacing w:before="0" w:after="120"/>
              <w:rPr>
                <w:rFonts w:ascii="Times New Roman" w:hAnsi="Times New Roman" w:cs="Times New Roman"/>
              </w:rPr>
            </w:pPr>
            <w:r>
              <w:rPr>
                <w:rFonts w:cs="Times New Roman" w:ascii="Times New Roman" w:hAnsi="Times New Roman"/>
              </w:rPr>
              <w:t>City:   _____________</w:t>
              <w:tab/>
              <w:t>Zip: _________</w:t>
            </w:r>
          </w:p>
        </w:tc>
      </w:tr>
      <w:tr>
        <w:trPr/>
        <w:tc>
          <w:tcPr>
            <w:tcW w:w="5220" w:type="dxa"/>
            <w:tcBorders/>
          </w:tcPr>
          <w:p>
            <w:pPr>
              <w:pStyle w:val="PlainText"/>
              <w:tabs>
                <w:tab w:val="clear" w:pos="720"/>
                <w:tab w:val="right" w:pos="4320" w:leader="none"/>
              </w:tabs>
              <w:spacing w:before="0" w:after="120"/>
              <w:rPr/>
            </w:pPr>
            <w:r>
              <w:rPr/>
              <w:t xml:space="preserve">Attn: ______________________________ </w:t>
              <w:br/>
              <w:t>Phone:  ____________________________</w:t>
              <w:br/>
              <w:t>Facsimile: __________________________</w:t>
              <w:br/>
              <w:t>Duns______________________________</w:t>
              <w:br/>
              <w:t>Federal Tax ID Number: _______________</w:t>
            </w:r>
          </w:p>
        </w:tc>
        <w:tc>
          <w:tcPr>
            <w:tcW w:w="5760" w:type="dxa"/>
            <w:tcBorders/>
          </w:tcPr>
          <w:p>
            <w:pPr>
              <w:pStyle w:val="PlainText"/>
              <w:tabs>
                <w:tab w:val="clear" w:pos="720"/>
                <w:tab w:val="right" w:pos="4320" w:leader="none"/>
              </w:tabs>
              <w:spacing w:before="0" w:after="120"/>
              <w:rPr/>
            </w:pPr>
            <w:r>
              <w:rPr/>
              <w:t xml:space="preserve">Attn: ______________________________ </w:t>
              <w:br/>
              <w:t>Phone:  ____________________________</w:t>
              <w:br/>
              <w:t>Facsimile: __________________________</w:t>
              <w:br/>
              <w:t>Duns______________________________</w:t>
              <w:br/>
              <w:t>Federal Tax ID Number: _______________</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________________________________</w:t>
              <w:br/>
              <w:t>________________________________</w:t>
              <w:br/>
              <w:t>________________________________</w:t>
              <w:br/>
              <w:t>Attn: ___________________________</w:t>
              <w:br/>
              <w:t>Phone: __________________________</w:t>
              <w:br/>
              <w:t>Facsimile: ________________________</w:t>
            </w:r>
          </w:p>
        </w:tc>
        <w:tc>
          <w:tcPr>
            <w:tcW w:w="576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________________________________</w:t>
              <w:br/>
              <w:t>________________________________</w:t>
              <w:br/>
              <w:t>________________________________</w:t>
              <w:br/>
              <w:t>Attn: ___________________________</w:t>
              <w:br/>
              <w:t>Phone: __________________________</w:t>
              <w:br/>
              <w:t>Facsimile: ________________________</w:t>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________________________________</w:t>
              <w:br/>
              <w:t>________________________________</w:t>
              <w:br/>
              <w:t>________________________________</w:t>
              <w:br/>
              <w:t>Attn: ___________________________</w:t>
              <w:br/>
              <w:t xml:space="preserve">Phone: </w:t>
              <w:tab/>
              <w:t>______________________</w:t>
              <w:br/>
              <w:t xml:space="preserve">Facsimile: </w:t>
              <w:tab/>
              <w:t>______________________</w:t>
            </w:r>
          </w:p>
        </w:tc>
        <w:tc>
          <w:tcPr>
            <w:tcW w:w="576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________________________________</w:t>
              <w:br/>
              <w:t>________________________________</w:t>
              <w:br/>
              <w:t>________________________________</w:t>
              <w:br/>
              <w:t>Attn: ___________________________</w:t>
              <w:br/>
              <w:t xml:space="preserve">Phone: </w:t>
              <w:tab/>
              <w:t>______________________</w:t>
              <w:br/>
              <w:t xml:space="preserve">Facsimile: </w:t>
              <w:tab/>
              <w:t>______________________</w:t>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________________________________</w:t>
              <w:br/>
              <w:t>________________________________</w:t>
              <w:br/>
              <w:t>________________________________</w:t>
              <w:br/>
              <w:t>Attn: ___________________________</w:t>
              <w:br/>
              <w:t>Phone: __________________________</w:t>
              <w:br/>
              <w:t>Facsimile: ________________________</w:t>
            </w:r>
          </w:p>
        </w:tc>
        <w:tc>
          <w:tcPr>
            <w:tcW w:w="576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________________________________</w:t>
              <w:br/>
              <w:t>________________________________</w:t>
              <w:br/>
              <w:t>________________________________</w:t>
              <w:br/>
              <w:t>Attn: ___________________________</w:t>
              <w:br/>
              <w:t>Phone: __________________________</w:t>
              <w:br/>
              <w:t>Facsimile: ________________________</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_________________________</w:t>
              <w:br/>
              <w:tab/>
              <w:t>for: ______________________</w:t>
              <w:br/>
              <w:t xml:space="preserve">ABA: </w:t>
              <w:tab/>
              <w:t>Routing #__________________</w:t>
              <w:br/>
              <w:t xml:space="preserve">ACCT: </w:t>
              <w:tab/>
              <w:t>#_________________________</w:t>
              <w:br/>
              <w:t>Confirmation: _____________________</w:t>
              <w:br/>
              <w:tab/>
              <w:t xml:space="preserve">             ___________________</w:t>
              <w:br/>
              <w:tab/>
              <w:t xml:space="preserve">             ___________________</w:t>
            </w:r>
          </w:p>
        </w:tc>
        <w:tc>
          <w:tcPr>
            <w:tcW w:w="576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_________________________</w:t>
              <w:br/>
              <w:tab/>
              <w:t>for: ______________________</w:t>
              <w:br/>
              <w:t xml:space="preserve">ABA: </w:t>
              <w:tab/>
              <w:t>Routing #__________________</w:t>
              <w:br/>
              <w:t xml:space="preserve">ACCT: </w:t>
              <w:tab/>
              <w:t>#_________________________</w:t>
              <w:br/>
              <w:t>Confirmation: _____________________</w:t>
              <w:br/>
              <w:tab/>
              <w:t xml:space="preserve">             ___________________</w:t>
              <w:br/>
              <w:tab/>
              <w:t xml:space="preserve">             ___________________</w:t>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_________________________________</w:t>
              <w:br/>
              <w:t>_________________________________</w:t>
              <w:br/>
              <w:t>_________________________________</w:t>
              <w:br/>
              <w:t>Attn: ____________________________</w:t>
              <w:br/>
              <w:t>Phone: ___________________________</w:t>
              <w:br/>
              <w:t>Facsimile: ________________________</w:t>
            </w:r>
          </w:p>
        </w:tc>
        <w:tc>
          <w:tcPr>
            <w:tcW w:w="576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_________________________________</w:t>
              <w:br/>
              <w:t>_________________________________</w:t>
              <w:br/>
              <w:t>_________________________________</w:t>
              <w:br/>
              <w:t>Attn: ____________________________</w:t>
              <w:br/>
              <w:t>Phone: ___________________________</w:t>
              <w:br/>
              <w:t>Facsimile: ________________________</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_______________________________________</w:t>
              <w:br/>
              <w:t>_______________________________________</w:t>
              <w:br/>
              <w:t>_______________________________________</w:t>
              <w:br/>
              <w:t>Attn: __________________________________</w:t>
              <w:br/>
              <w:t>Facsimile: ______________________________</w:t>
            </w:r>
          </w:p>
        </w:tc>
        <w:tc>
          <w:tcPr>
            <w:tcW w:w="576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_______________________________________</w:t>
              <w:br/>
              <w:t>_______________________________________</w:t>
              <w:br/>
              <w:t>_______________________________________</w:t>
              <w:br/>
              <w:t>Attn: __________________________________</w:t>
              <w:br/>
              <w:t>Facsimile: ______________________________</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600" w:leader="none"/>
          <w:tab w:val="left" w:pos="3780" w:leader="none"/>
          <w:tab w:val="right" w:pos="6300" w:leader="none"/>
          <w:tab w:val="left" w:pos="7380" w:leader="none"/>
          <w:tab w:val="right" w:pos="9360" w:leader="none"/>
        </w:tabs>
        <w:spacing w:before="120" w:after="0"/>
        <w:rPr/>
      </w:pPr>
      <w:r>
        <w:rPr/>
        <w:t>Party A Tariff</w:t>
        <w:tab/>
        <w:t>________________</w:t>
        <w:tab/>
        <w:tab/>
        <w:t>Dated __________</w:t>
        <w:tab/>
        <w:tab/>
        <w:t>Docket Number __________________</w:t>
      </w:r>
    </w:p>
    <w:p>
      <w:pPr>
        <w:pStyle w:val="coverbody"/>
        <w:tabs>
          <w:tab w:val="clear" w:pos="720"/>
          <w:tab w:val="left" w:pos="1620" w:leader="none"/>
          <w:tab w:val="right" w:pos="3600" w:leader="none"/>
          <w:tab w:val="left" w:pos="3780" w:leader="none"/>
          <w:tab w:val="right" w:pos="6300" w:leader="none"/>
          <w:tab w:val="left" w:pos="7380" w:leader="none"/>
          <w:tab w:val="right" w:pos="9360" w:leader="none"/>
        </w:tabs>
        <w:spacing w:before="120" w:after="120"/>
        <w:rPr/>
      </w:pPr>
      <w:r>
        <w:rPr/>
        <w:t>Party B Tariff</w:t>
        <w:tab/>
        <w:t>________________</w:t>
        <w:tab/>
        <w:tab/>
        <w:t>Dated __________</w:t>
        <w:tab/>
        <w:tab/>
        <w:t>Docket Number __________________</w:t>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2"/>
            <w:tcBorders/>
          </w:tcPr>
          <w:p>
            <w:pPr>
              <w:pStyle w:val="Normal"/>
              <w:spacing w:before="0" w:after="120"/>
              <w:rPr>
                <w:sz w:val="20"/>
              </w:rPr>
            </w:pPr>
            <w:r>
              <w:rPr>
                <w:sz w:val="20"/>
              </w:rPr>
              <w:t>X  Optional provision in Section 2.4.   If not checked, inapplicable.</w:t>
            </w:r>
          </w:p>
          <w:p>
            <w:pPr>
              <w:pStyle w:val="Normal"/>
              <w:spacing w:before="0" w:after="120"/>
              <w:rPr>
                <w:sz w:val="20"/>
              </w:rPr>
            </w:pPr>
            <w:r>
              <w:rPr>
                <w:sz w:val="20"/>
              </w:rPr>
              <w:t>.</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2"/>
            <w:tcBorders/>
          </w:tcPr>
          <w:p>
            <w:pPr>
              <w:pStyle w:val="Normal"/>
              <w:spacing w:before="0" w:after="120"/>
              <w:rPr>
                <w:sz w:val="20"/>
              </w:rPr>
            </w:pPr>
            <w:r>
              <w:rPr>
                <w:sz w:val="20"/>
              </w:rPr>
              <w:t xml:space="preserve">  </w:t>
            </w:r>
            <w:r>
              <w:rPr>
                <w:sz w:val="20"/>
              </w:rPr>
              <w:t>Accelerated Payment of Damages. If not checked, inapplicable.</w:t>
            </w:r>
          </w:p>
          <w:p>
            <w:pPr>
              <w:pStyle w:val="Normal"/>
              <w:spacing w:before="0" w:after="120"/>
              <w:rPr>
                <w:sz w:val="20"/>
              </w:rPr>
            </w:pPr>
            <w:r>
              <w:rPr>
                <w:sz w:val="20"/>
              </w:rPr>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2"/>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eastAsia="Courier New"/>
              </w:rPr>
              <w:t xml:space="preserve"> </w:t>
            </w:r>
            <w:r>
              <w:rPr>
                <w:rFonts w:cs="Times New Roman" w:ascii="Times New Roman" w:hAnsi="Times New Roman"/>
              </w:rPr>
              <w:t>Cross Default for Party A:</w:t>
            </w:r>
          </w:p>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rFonts w:ascii="Times New Roman" w:hAnsi="Times New Roman" w:cs="Times New Roman"/>
                <w:b/>
                <w:u w:val="single"/>
              </w:rPr>
            </w:pPr>
            <w:r>
              <w:rPr>
                <w:rFonts w:cs="Times New Roman" w:ascii="Times New Roman" w:hAnsi="Times New Roman"/>
                <w:b/>
                <w:u w:val="single"/>
              </w:rPr>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X  Party A:</w:t>
            </w:r>
            <w:r>
              <w:rPr>
                <w:sz w:val="20"/>
                <w:u w:val="single"/>
              </w:rPr>
              <w:tab/>
            </w:r>
          </w:p>
        </w:tc>
        <w:tc>
          <w:tcPr>
            <w:tcW w:w="4410" w:type="dxa"/>
            <w:tcBorders/>
          </w:tcPr>
          <w:p>
            <w:pPr>
              <w:pStyle w:val="Normal"/>
              <w:tabs>
                <w:tab w:val="clear" w:pos="720"/>
                <w:tab w:val="right" w:pos="2844" w:leader="none"/>
              </w:tabs>
              <w:spacing w:before="0" w:after="120"/>
              <w:rPr>
                <w:sz w:val="20"/>
              </w:rPr>
            </w:pPr>
            <w:r>
              <w:rPr>
                <w:sz w:val="20"/>
              </w:rPr>
              <w:t xml:space="preserve">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t xml:space="preserve"> </w:t>
            </w:r>
            <w:r>
              <w:rPr>
                <w:sz w:val="20"/>
              </w:rPr>
              <w:t>Other Entity: _____________</w:t>
            </w:r>
          </w:p>
        </w:tc>
        <w:tc>
          <w:tcPr>
            <w:tcW w:w="4410" w:type="dxa"/>
            <w:tcBorders/>
          </w:tcPr>
          <w:p>
            <w:pPr>
              <w:pStyle w:val="Normal"/>
              <w:tabs>
                <w:tab w:val="clear" w:pos="720"/>
                <w:tab w:val="right" w:pos="2844" w:leader="none"/>
              </w:tabs>
              <w:spacing w:before="0" w:after="120"/>
              <w:rPr>
                <w:sz w:val="20"/>
              </w:rPr>
            </w:pPr>
            <w:r>
              <w:rPr>
                <w:sz w:val="20"/>
              </w:rPr>
              <w:t xml:space="preserve">Cross Default Amount: </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t></w:t>
            </w:r>
            <w:r>
              <w:rPr>
                <w:sz w:val="20"/>
              </w:rPr>
              <w:t xml:space="preserve">  </w:t>
            </w:r>
            <w:r>
              <w:rPr>
                <w:sz w:val="20"/>
              </w:rPr>
              <w:t>Cross Default for Party B:</w:t>
            </w:r>
          </w:p>
        </w:tc>
        <w:tc>
          <w:tcPr>
            <w:tcW w:w="4410" w:type="dxa"/>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rFonts w:cs="Times New Roman" w:ascii="Times New Roman" w:hAnsi="Times New Roman"/>
              </w:rPr>
              <w:t>X  Party B: _______________</w:t>
            </w:r>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 xml:space="preserve">Cross Default Amount </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t></w:t>
            </w:r>
            <w:r>
              <w:rPr>
                <w:rFonts w:cs="Times New Roman" w:ascii="Times New Roman" w:hAnsi="Times New Roman"/>
              </w:rPr>
              <w:t xml:space="preserve">  </w:t>
            </w:r>
            <w:r>
              <w:rPr>
                <w:rFonts w:cs="Times New Roman" w:ascii="Times New Roman" w:hAnsi="Times New Roman"/>
              </w:rPr>
              <w:t>Other Entity:      _________</w:t>
            </w:r>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 xml:space="preserve">Cross Default Amount $ </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sz w:val="20"/>
              </w:rPr>
            </w:pPr>
            <w:r>
              <w:rPr>
                <w:sz w:val="20"/>
              </w:rPr>
              <w:t>X</w:t>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sz w:val="20"/>
              </w:rPr>
              <w:t></w:t>
            </w:r>
            <w:r>
              <w:rPr>
                <w:sz w:val="20"/>
              </w:rPr>
              <w:tab/>
              <w:t>Option C (No Setoff)</w:t>
            </w:r>
          </w:p>
        </w:tc>
      </w:tr>
    </w:tbl>
    <w:p>
      <w:pPr>
        <w:pStyle w:val="Normal"/>
        <w:rPr/>
      </w:pPr>
      <w:r>
        <w:rPr/>
      </w:r>
      <w:r>
        <w:br w:type="page"/>
      </w:r>
    </w:p>
    <w:p>
      <w:pPr>
        <w:pStyle w:val="Normal"/>
        <w:rPr/>
      </w:pPr>
      <w:r>
        <w:rPr/>
      </w:r>
    </w:p>
    <w:tbl>
      <w:tblPr>
        <w:tblW w:w="11088" w:type="dxa"/>
        <w:jc w:val="start"/>
        <w:tblInd w:w="0" w:type="dxa"/>
        <w:tblLayout w:type="fixed"/>
        <w:tblCellMar>
          <w:top w:w="0" w:type="dxa"/>
          <w:start w:w="108" w:type="dxa"/>
          <w:bottom w:w="0" w:type="dxa"/>
          <w:end w:w="108" w:type="dxa"/>
        </w:tblCellMar>
      </w:tblPr>
      <w:tblGrid>
        <w:gridCol w:w="3708"/>
        <w:gridCol w:w="7380"/>
      </w:tblGrid>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p>
            <w:pPr>
              <w:pStyle w:val="Normal"/>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Credit and Collateral Requirements</w:t>
            </w:r>
          </w:p>
        </w:tc>
        <w:tc>
          <w:tcPr>
            <w:tcW w:w="7380" w:type="dxa"/>
            <w:tcBorders/>
          </w:tcPr>
          <w:p>
            <w:pPr>
              <w:pStyle w:val="Normal"/>
              <w:spacing w:before="0" w:after="120"/>
              <w:ind w:hanging="360" w:start="720" w:end="0"/>
              <w:rPr/>
            </w:pPr>
            <w:r>
              <w:rPr>
                <w:rStyle w:val="ParaNum"/>
                <w:sz w:val="20"/>
              </w:rPr>
              <w:t>(a)</w:t>
            </w:r>
            <w:r>
              <w:rPr>
                <w:sz w:val="20"/>
              </w:rPr>
              <w:t xml:space="preserve">  Financial Information: [check as 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1332" w:leader="none"/>
                <w:tab w:val="right" w:pos="4572" w:leader="none"/>
              </w:tabs>
              <w:spacing w:before="0" w:after="120"/>
              <w:ind w:start="720" w:end="0"/>
              <w:rPr/>
            </w:pPr>
            <w:r>
              <w:rPr>
                <w:sz w:val="20"/>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p>
            <w:pPr>
              <w:pStyle w:val="MacroText"/>
              <w:tabs>
                <w:tab w:val="clear" w:pos="480"/>
                <w:tab w:val="clear" w:pos="960"/>
                <w:tab w:val="clear" w:pos="1440"/>
                <w:tab w:val="clear" w:pos="1920"/>
                <w:tab w:val="clear" w:pos="2400"/>
                <w:tab w:val="clear" w:pos="2880"/>
                <w:tab w:val="clear" w:pos="3360"/>
                <w:tab w:val="clear" w:pos="3840"/>
                <w:tab w:val="clear" w:pos="4320"/>
                <w:tab w:val="left" w:pos="1332" w:leader="none"/>
                <w:tab w:val="right" w:pos="4572" w:leader="none"/>
              </w:tabs>
              <w:spacing w:before="0" w:after="120"/>
              <w:rPr>
                <w:rFonts w:ascii="Times New Roman" w:hAnsi="Times New Roman" w:cs="Times New Roman"/>
                <w:sz w:val="20"/>
                <w:u w:val="single"/>
              </w:rPr>
            </w:pPr>
            <w:r>
              <w:rPr>
                <w:rFonts w:cs="Times New Roman" w:ascii="Times New Roman" w:hAnsi="Times New Roman"/>
                <w:sz w:val="20"/>
                <w:u w:val="single"/>
              </w:rPr>
            </w:r>
          </w:p>
        </w:tc>
      </w:tr>
      <w:tr>
        <w:trPr/>
        <w:tc>
          <w:tcPr>
            <w:tcW w:w="3708" w:type="dxa"/>
            <w:tcBorders/>
          </w:tcPr>
          <w:p>
            <w:pPr>
              <w:pStyle w:val="Normal"/>
              <w:keepNext w:val="true"/>
              <w:snapToGrid w:val="false"/>
              <w:spacing w:before="0" w:after="120"/>
              <w:rPr>
                <w:rFonts w:ascii="Times New Roman" w:hAnsi="Times New Roman" w:cs="Times New Roman"/>
                <w:sz w:val="20"/>
                <w:u w:val="single"/>
              </w:rPr>
            </w:pPr>
            <w:r>
              <w:rPr>
                <w:rFonts w:cs="Times New Roman"/>
                <w:sz w:val="20"/>
                <w:u w:val="single"/>
              </w:rPr>
            </w:r>
          </w:p>
        </w:tc>
        <w:tc>
          <w:tcPr>
            <w:tcW w:w="7380" w:type="dxa"/>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1332" w:leader="none"/>
                <w:tab w:val="right" w:pos="4572" w:leader="none"/>
              </w:tabs>
              <w:spacing w:before="0" w:after="120"/>
              <w:ind w:start="972" w:end="0"/>
              <w:rPr/>
            </w:pPr>
            <w:r>
              <w:rPr>
                <w:sz w:val="20"/>
              </w:rPr>
              <w:t xml:space="preserve">   </w:t>
            </w:r>
            <w:r>
              <w:rPr>
                <w:sz w:val="20"/>
              </w:rPr>
              <w:t>Not Applicable</w:t>
              <w:br/>
              <w:t>X</w:t>
              <w:tab/>
              <w:t xml:space="preserve">Applicable </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1332" w:leader="none"/>
                <w:tab w:val="right" w:pos="4572" w:leader="none"/>
              </w:tabs>
              <w:spacing w:before="0" w:after="120"/>
              <w:ind w:start="972" w:end="0"/>
              <w:rPr>
                <w:sz w:val="20"/>
              </w:rPr>
            </w:pPr>
            <w:r>
              <w:rPr>
                <w:sz w:val="20"/>
              </w:rPr>
              <w:t>X</w:t>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PlainText"/>
              <w:spacing w:before="0" w:after="200"/>
              <w:rPr/>
            </w:pPr>
            <w:r>
              <w:rPr/>
              <w:t>Party B Collateral Threshold: ;provided, however, that Party B’s Collateral Threshold shall be zero if an Event of Default or Potential Event of Default with respect to Party B has occurred and is continuing.</w:t>
            </w:r>
          </w:p>
          <w:p>
            <w:pPr>
              <w:pStyle w:val="Normal"/>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3852" w:leader="none"/>
              </w:tabs>
              <w:spacing w:before="0" w:after="120"/>
              <w:rPr>
                <w:sz w:val="20"/>
              </w:rPr>
            </w:pPr>
            <w:r>
              <w:rPr>
                <w:sz w:val="20"/>
              </w:rPr>
              <w:t>Party B Independent Amount: $</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3852" w:leader="none"/>
              </w:tabs>
              <w:spacing w:before="0" w:after="120"/>
              <w:rPr>
                <w:sz w:val="20"/>
              </w:rPr>
            </w:pPr>
            <w:r>
              <w:rPr>
                <w:sz w:val="20"/>
              </w:rPr>
              <w:t>Party B Rounding Amount: $</w:t>
              <w:tab/>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702" w:leader="none"/>
              </w:tabs>
              <w:spacing w:before="0" w:after="120"/>
              <w:ind w:start="360" w:end="0"/>
              <w:rPr>
                <w:sz w:val="20"/>
              </w:rPr>
            </w:pPr>
            <w:r>
              <w:rPr>
                <w:sz w:val="20"/>
              </w:rPr>
              <w:t>X</w:t>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ind w:hanging="360" w:start="720" w:end="0"/>
              <w:rPr/>
            </w:pPr>
            <w:r>
              <w:rPr>
                <w:sz w:val="20"/>
              </w:rPr>
              <w:t></w:t>
            </w:r>
            <w:r>
              <w:rPr>
                <w:sz w:val="20"/>
              </w:rPr>
              <w:tab/>
              <w:t xml:space="preserve">It shall be a Downgrade Event for Party B if Party B’s Credit Rating falls below BBB- from S&amp;P or Baa3 from Moody’s or if Party B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6012" w:leader="none"/>
              </w:tabs>
              <w:spacing w:before="0" w:after="120"/>
              <w:ind w:start="702" w:end="0"/>
              <w:rPr>
                <w:sz w:val="20"/>
                <w:u w:val="single"/>
              </w:rPr>
            </w:pPr>
            <w:r>
              <w:rPr>
                <w:sz w:val="20"/>
              </w:rPr>
              <w:t>Guarantee Amount: $    N/A</w:t>
            </w:r>
          </w:p>
          <w:p>
            <w:pPr>
              <w:pStyle w:val="Normal"/>
              <w:tabs>
                <w:tab w:val="clear" w:pos="720"/>
                <w:tab w:val="right" w:pos="6012" w:leader="none"/>
              </w:tabs>
              <w:spacing w:before="0" w:after="120"/>
              <w:ind w:start="702" w:end="0"/>
              <w:rPr>
                <w:rStyle w:val="ParaNum"/>
                <w:sz w:val="20"/>
              </w:rPr>
            </w:pPr>
            <w:r>
              <w:rPr>
                <w:sz w:val="20"/>
                <w:u w:val="single"/>
              </w:rPr>
            </w:r>
          </w:p>
        </w:tc>
      </w:tr>
    </w:tbl>
    <w:p>
      <w:pPr>
        <w:pStyle w:val="Normal"/>
        <w:rPr>
          <w:rStyle w:val="ParaNum"/>
          <w:sz w:val="20"/>
        </w:rPr>
      </w:pPr>
      <w:r>
        <w:rPr/>
      </w:r>
    </w:p>
    <w:tbl>
      <w:tblPr>
        <w:tblW w:w="11088" w:type="dxa"/>
        <w:jc w:val="start"/>
        <w:tblInd w:w="0" w:type="dxa"/>
        <w:tblLayout w:type="fixed"/>
        <w:tblCellMar>
          <w:top w:w="0" w:type="dxa"/>
          <w:start w:w="108" w:type="dxa"/>
          <w:bottom w:w="0" w:type="dxa"/>
          <w:end w:w="108" w:type="dxa"/>
        </w:tblCellMar>
      </w:tblPr>
      <w:tblGrid>
        <w:gridCol w:w="3708"/>
        <w:gridCol w:w="3114"/>
        <w:gridCol w:w="4266"/>
      </w:tblGrid>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pPr>
            <w:r>
              <w:rPr>
                <w:sz w:val="20"/>
              </w:rPr>
              <w:t xml:space="preserve">8.2  </w:t>
            </w:r>
            <w:r>
              <w:rPr>
                <w:sz w:val="20"/>
                <w:u w:val="single"/>
              </w:rPr>
              <w:t>Party B Credit Protection</w:t>
            </w:r>
            <w:r>
              <w:rPr>
                <w:sz w:val="20"/>
              </w:rPr>
              <w:t xml:space="preserve">: </w:t>
            </w:r>
          </w:p>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120"/>
              <w:rPr>
                <w:rFonts w:ascii="Times New Roman" w:hAnsi="Times New Roman" w:cs="Times New Roman"/>
                <w:sz w:val="20"/>
              </w:rPr>
            </w:pPr>
            <w:r>
              <w:rPr>
                <w:rFonts w:cs="Times New Roman" w:ascii="Times New Roman" w:hAnsi="Times New Roman"/>
                <w:sz w:val="20"/>
              </w:rPr>
            </w:r>
          </w:p>
        </w:tc>
      </w:tr>
      <w:tr>
        <w:trPr/>
        <w:tc>
          <w:tcPr>
            <w:tcW w:w="3708" w:type="dxa"/>
            <w:tcBorders/>
          </w:tcPr>
          <w:p>
            <w:pPr>
              <w:pStyle w:val="Normal"/>
              <w:keepNext w:val="true"/>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keepNext w:val="true"/>
              <w:spacing w:before="0" w:after="120"/>
              <w:ind w:hanging="360" w:start="720" w:end="0"/>
              <w:rPr/>
            </w:pPr>
            <w:r>
              <w:rPr>
                <w:rStyle w:val="ParaNum"/>
                <w:sz w:val="20"/>
              </w:rPr>
              <w:t>(a)</w:t>
            </w:r>
            <w:r>
              <w:rPr>
                <w:sz w:val="20"/>
              </w:rPr>
              <w:t xml:space="preserve">  Financial Information: [check as applicable]</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Normal"/>
              <w:keepNext w:val="true"/>
              <w:tabs>
                <w:tab w:val="clear" w:pos="720"/>
                <w:tab w:val="left" w:pos="1332" w:leader="none"/>
                <w:tab w:val="right" w:pos="4572" w:leader="none"/>
              </w:tabs>
              <w:spacing w:before="0" w:after="120"/>
              <w:ind w:start="972" w:end="0"/>
              <w:rPr/>
            </w:pPr>
            <w:r>
              <w:rPr>
                <w:sz w:val="20"/>
              </w:rPr>
              <w:t></w:t>
            </w:r>
            <w:r>
              <w:rPr>
                <w:sz w:val="20"/>
              </w:rPr>
              <w:tab/>
              <w:t>Option A</w:t>
              <w:br/>
              <w:t></w:t>
              <w:tab/>
              <w:t xml:space="preserve">Option B   Specify: </w:t>
            </w:r>
            <w:r>
              <w:rPr>
                <w:sz w:val="20"/>
                <w:u w:val="single"/>
              </w:rPr>
              <w:br/>
            </w:r>
            <w:r>
              <w:rPr>
                <w:sz w:val="20"/>
              </w:rPr>
              <w:t></w:t>
              <w:tab/>
              <w:t xml:space="preserve">Option C   Specify: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X</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X</w:t>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120"/>
              <w:rPr/>
            </w:pPr>
            <w:r>
              <w:rPr>
                <w:rFonts w:cs="Times New Roman" w:ascii="Times New Roman" w:hAnsi="Times New Roman"/>
              </w:rPr>
              <w:t>If applicable, complete the following:</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spacing w:before="0" w:after="120"/>
              <w:rPr/>
            </w:pPr>
            <w:r>
              <w:rPr>
                <w:sz w:val="20"/>
              </w:rPr>
              <w:t>Party A Collateral Threshold:</w:t>
            </w:r>
            <w:r>
              <w:rPr/>
              <w:t xml:space="preserve">  ___________;</w:t>
            </w:r>
            <w:r>
              <w:rPr>
                <w:sz w:val="20"/>
              </w:rPr>
              <w:t>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 xml:space="preserve">Party A Independent Amount: </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tabs>
                <w:tab w:val="clear" w:pos="720"/>
                <w:tab w:val="right" w:pos="3852" w:leader="none"/>
              </w:tabs>
              <w:spacing w:before="0" w:after="120"/>
              <w:rPr>
                <w:sz w:val="20"/>
              </w:rPr>
            </w:pPr>
            <w:r>
              <w:rPr>
                <w:sz w:val="20"/>
              </w:rPr>
              <w:t xml:space="preserve">Party A Rounding Amount: </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2"/>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2"/>
            <w:tcBorders/>
          </w:tcPr>
          <w:p>
            <w:pPr>
              <w:pStyle w:val="Normal"/>
              <w:keepNext w:val="true"/>
              <w:keepLines/>
              <w:tabs>
                <w:tab w:val="clear" w:pos="720"/>
                <w:tab w:val="left" w:pos="702" w:leader="none"/>
              </w:tabs>
              <w:spacing w:before="0" w:after="120"/>
              <w:ind w:start="360" w:end="0"/>
              <w:rPr>
                <w:sz w:val="20"/>
              </w:rPr>
            </w:pPr>
            <w:r>
              <w:rPr>
                <w:sz w:val="20"/>
              </w:rPr>
              <w:t>X</w:t>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sz w:val="20"/>
              </w:rPr>
            </w:pPr>
            <w:r>
              <w:rPr>
                <w:sz w:val="20"/>
              </w:rPr>
              <w:t></w:t>
            </w:r>
            <w:r>
              <w:rPr>
                <w:sz w:val="20"/>
              </w:rPr>
              <w:tab/>
              <w:t xml:space="preserve">It shall be a Downgrade Event for Party A if Party A’s Credit Rating falls below  BBB from S&amp;P or  Baa1 from  Moody’s or if Party A.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rPr>
                <w:b/>
                <w:sz w:val="20"/>
                <w:u w:val="single"/>
              </w:rPr>
            </w:pPr>
            <w:r>
              <w:rPr>
                <w:rStyle w:val="ParaNum"/>
                <w:sz w:val="20"/>
              </w:rPr>
              <w:t>(e)</w:t>
            </w:r>
            <w:r>
              <w:rPr>
                <w:sz w:val="20"/>
              </w:rPr>
              <w:t xml:space="preserve">  Guarantor for Party A: N/A</w:t>
            </w:r>
          </w:p>
        </w:tc>
      </w:tr>
      <w:tr>
        <w:trPr/>
        <w:tc>
          <w:tcPr>
            <w:tcW w:w="3708" w:type="dxa"/>
            <w:tcBorders/>
          </w:tcPr>
          <w:p>
            <w:pPr>
              <w:pStyle w:val="Normal"/>
              <w:snapToGrid w:val="false"/>
              <w:spacing w:before="0" w:after="120"/>
              <w:rPr>
                <w:b/>
                <w:sz w:val="20"/>
                <w:u w:val="single"/>
              </w:rPr>
            </w:pPr>
            <w:r>
              <w:rPr>
                <w:b/>
                <w:sz w:val="20"/>
                <w:u w:val="single"/>
              </w:rPr>
            </w:r>
          </w:p>
        </w:tc>
        <w:tc>
          <w:tcPr>
            <w:tcW w:w="7380" w:type="dxa"/>
            <w:gridSpan w:val="2"/>
            <w:tcBorders/>
          </w:tcPr>
          <w:p>
            <w:pPr>
              <w:pStyle w:val="Normal"/>
              <w:tabs>
                <w:tab w:val="clear" w:pos="720"/>
                <w:tab w:val="right" w:pos="6012" w:leader="none"/>
              </w:tabs>
              <w:spacing w:before="0" w:after="120"/>
              <w:ind w:start="702" w:end="0"/>
              <w:rPr>
                <w:sz w:val="20"/>
              </w:rPr>
            </w:pPr>
            <w:r>
              <w:rPr>
                <w:sz w:val="20"/>
              </w:rPr>
              <w:t xml:space="preserve">Guarantee Amount: </w:t>
            </w:r>
          </w:p>
          <w:p>
            <w:pPr>
              <w:pStyle w:val="Normal"/>
              <w:tabs>
                <w:tab w:val="clear" w:pos="720"/>
                <w:tab w:val="right" w:pos="6012" w:leader="none"/>
              </w:tabs>
              <w:spacing w:before="0" w:after="120"/>
              <w:ind w:start="702" w:end="0"/>
              <w:rPr>
                <w:rStyle w:val="ParaNum"/>
                <w:sz w:val="20"/>
              </w:rPr>
            </w:pPr>
            <w:r>
              <w:rPr>
                <w:sz w:val="20"/>
              </w:rPr>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tcBorders/>
          </w:tcPr>
          <w:p>
            <w:pPr>
              <w:pStyle w:val="Normal"/>
              <w:tabs>
                <w:tab w:val="clear" w:pos="720"/>
                <w:tab w:val="left" w:pos="252" w:leader="none"/>
              </w:tabs>
              <w:spacing w:before="0" w:after="120"/>
              <w:rPr>
                <w:sz w:val="20"/>
              </w:rPr>
            </w:pPr>
            <w:r>
              <w:rPr>
                <w:sz w:val="20"/>
              </w:rPr>
              <w:t>X  Confidentiality Applicable</w:t>
            </w:r>
          </w:p>
        </w:tc>
        <w:tc>
          <w:tcPr>
            <w:tcW w:w="4266" w:type="dxa"/>
            <w:tcBorders/>
          </w:tcPr>
          <w:p>
            <w:pPr>
              <w:pStyle w:val="Normal"/>
              <w:spacing w:before="0" w:after="120"/>
              <w:rPr>
                <w:sz w:val="20"/>
              </w:rPr>
            </w:pPr>
            <w:r>
              <w:rPr>
                <w:sz w:val="20"/>
              </w:rPr>
              <w:t>If not checked, inapplicable.</w:t>
            </w:r>
          </w:p>
          <w:p>
            <w:pPr>
              <w:pStyle w:val="Normal"/>
              <w:spacing w:before="0" w:after="120"/>
              <w:rPr>
                <w:sz w:val="20"/>
              </w:rPr>
            </w:pPr>
            <w:r>
              <w:rPr>
                <w:sz w:val="20"/>
              </w:rPr>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2"/>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2"/>
            <w:tcBorders/>
          </w:tcPr>
          <w:p>
            <w:pPr>
              <w:pStyle w:val="Normal"/>
              <w:rPr/>
            </w:pPr>
            <w:r>
              <w:rPr>
                <w:sz w:val="20"/>
              </w:rPr>
              <w:t>X  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2"/>
            <w:tcBorders/>
          </w:tcPr>
          <w:p>
            <w:pPr>
              <w:pStyle w:val="Normal"/>
              <w:rPr>
                <w:sz w:val="20"/>
              </w:rPr>
            </w:pPr>
            <w:r>
              <w:rPr>
                <w:sz w:val="20"/>
              </w:rPr>
              <w:t>X  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2"/>
            <w:tcBorders/>
          </w:tcPr>
          <w:p>
            <w:pPr>
              <w:pStyle w:val="Normal"/>
              <w:spacing w:before="0" w:after="60"/>
              <w:rPr>
                <w:sz w:val="20"/>
              </w:rPr>
            </w:pPr>
            <w:r>
              <w:rPr>
                <w:sz w:val="20"/>
              </w:rPr>
              <w:t>X  Add Section 8.4.  If not checked, inapplicable</w:t>
            </w:r>
          </w:p>
          <w:p>
            <w:pPr>
              <w:pStyle w:val="Normal"/>
              <w:spacing w:before="0" w:after="60"/>
              <w:rPr>
                <w:sz w:val="20"/>
              </w:rPr>
            </w:pPr>
            <w:r>
              <w:rPr>
                <w:sz w:val="20"/>
              </w:rPr>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2"/>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Heading2"/>
        <w:tabs>
          <w:tab w:val="clear" w:pos="720"/>
          <w:tab w:val="left" w:pos="360" w:leader="none"/>
        </w:tabs>
        <w:spacing w:before="0" w:after="120"/>
        <w:ind w:hanging="0" w:start="0"/>
        <w:rPr/>
      </w:pPr>
      <w:r>
        <w:rPr>
          <w:b/>
          <w:sz w:val="20"/>
        </w:rPr>
        <w:t>(a)  Definitions</w:t>
      </w:r>
      <w:r>
        <w:rPr>
          <w:sz w:val="20"/>
        </w:rPr>
        <w:t xml:space="preserve">.  </w:t>
      </w:r>
    </w:p>
    <w:p>
      <w:pPr>
        <w:pStyle w:val="Heading2"/>
        <w:tabs>
          <w:tab w:val="clear" w:pos="720"/>
          <w:tab w:val="left" w:pos="360" w:leader="none"/>
        </w:tabs>
        <w:spacing w:before="0" w:after="120"/>
        <w:ind w:hanging="0" w:start="0"/>
        <w:rPr/>
      </w:pPr>
      <w:r>
        <w:rPr>
          <w:b/>
          <w:sz w:val="20"/>
        </w:rPr>
        <w:tab/>
        <w:tab/>
      </w:r>
      <w:r>
        <w:rPr>
          <w:sz w:val="20"/>
        </w:rPr>
        <w:t>(1)</w:t>
      </w:r>
      <w:r>
        <w:rPr>
          <w:b/>
          <w:sz w:val="20"/>
        </w:rPr>
        <w:t xml:space="preserve">  </w:t>
      </w:r>
      <w:r>
        <w:rPr>
          <w:sz w:val="20"/>
        </w:rPr>
        <w:t>Section 1.45 is amended by replacing the current definition with the following:</w:t>
      </w:r>
    </w:p>
    <w:p>
      <w:pPr>
        <w:pStyle w:val="BodyTextIndent2"/>
        <w:ind w:start="1440" w:end="0"/>
        <w:rPr/>
      </w:pPr>
      <w:r>
        <w:rPr/>
        <w:t>“</w:t>
      </w:r>
      <w:r>
        <w:rPr/>
        <w:t>Performance Assurance” means collateral in the form of either cash, Letter(s) of Credit, or other security or assurance reasonably acceptable to the Requesting Party.</w:t>
      </w:r>
    </w:p>
    <w:p>
      <w:pPr>
        <w:pStyle w:val="Normal"/>
        <w:ind w:firstLine="720" w:end="0"/>
        <w:jc w:val="both"/>
        <w:rPr/>
      </w:pPr>
      <w:r>
        <w:rPr>
          <w:sz w:val="20"/>
        </w:rPr>
        <w:t>(2)  Section 1.51, “Replacement Price” shall be amended on the fifth line by deleting the phrase “</w:t>
      </w:r>
      <w:r>
        <w:rPr>
          <w:b/>
          <w:sz w:val="20"/>
        </w:rPr>
        <w:t>at Buyer’s option</w:t>
      </w:r>
      <w:r>
        <w:rPr>
          <w:sz w:val="20"/>
        </w:rPr>
        <w:t>” and inserting the following phrase: “absent a purchase”.</w:t>
      </w:r>
    </w:p>
    <w:p>
      <w:pPr>
        <w:pStyle w:val="Normal"/>
        <w:jc w:val="both"/>
        <w:rPr>
          <w:sz w:val="20"/>
        </w:rPr>
      </w:pPr>
      <w:r>
        <w:rPr>
          <w:sz w:val="20"/>
        </w:rPr>
      </w:r>
    </w:p>
    <w:p>
      <w:pPr>
        <w:pStyle w:val="Normal"/>
        <w:ind w:firstLine="720" w:end="0"/>
        <w:jc w:val="both"/>
        <w:rPr/>
      </w:pPr>
      <w:r>
        <w:rPr>
          <w:sz w:val="20"/>
        </w:rPr>
        <w:t>(3)  Section 1.53, “Sales Price” shall be amended on the fifth line of by deleting the phrase “</w:t>
      </w:r>
      <w:r>
        <w:rPr>
          <w:b/>
          <w:sz w:val="20"/>
        </w:rPr>
        <w:t>at Seller’s option</w:t>
      </w:r>
      <w:r>
        <w:rPr>
          <w:sz w:val="20"/>
        </w:rPr>
        <w:t>” and inserting the following phrase: “absent a sale”.</w:t>
      </w:r>
    </w:p>
    <w:p>
      <w:pPr>
        <w:pStyle w:val="BodyTextIndent2"/>
        <w:rPr>
          <w:sz w:val="20"/>
        </w:rPr>
      </w:pPr>
      <w:r>
        <w:rPr>
          <w:sz w:val="20"/>
        </w:rPr>
      </w:r>
    </w:p>
    <w:p>
      <w:pPr>
        <w:pStyle w:val="Normal"/>
        <w:jc w:val="both"/>
        <w:rPr/>
      </w:pPr>
      <w:r>
        <w:rPr>
          <w:b/>
          <w:sz w:val="20"/>
        </w:rPr>
        <w:t>(b) Transmission and Scheduling.</w:t>
      </w:r>
      <w:r>
        <w:rPr>
          <w:sz w:val="20"/>
        </w:rPr>
        <w:t xml:space="preserve">   Section 3.2, “Transmission and Scheduling” shall be amended by renaming it “Transmission, Scheduling and Imbalance Charges” and inserting the following sentences at the end thereof:</w:t>
      </w:r>
    </w:p>
    <w:p>
      <w:pPr>
        <w:pStyle w:val="Normal"/>
        <w:jc w:val="both"/>
        <w:rPr>
          <w:sz w:val="20"/>
        </w:rPr>
      </w:pPr>
      <w:r>
        <w:rPr>
          <w:sz w:val="20"/>
        </w:rPr>
      </w:r>
    </w:p>
    <w:p>
      <w:pPr>
        <w:pStyle w:val="Normal"/>
        <w:ind w:hanging="720" w:start="720" w:end="0"/>
        <w:jc w:val="both"/>
        <w:rPr>
          <w:sz w:val="20"/>
        </w:rPr>
      </w:pPr>
      <w:r>
        <w:rPr>
          <w:sz w:val="20"/>
        </w:rPr>
        <w:tab/>
        <w:t>“In addition to the remedies provided under Article 4, Buyer shall assume all liability for and reimburse Seller within thirty (30) days of presentation of an invoice for any Penalties incurred as a result of Buyer’s failure to (i) notify Seller of a failure to Schedule or a change in a Schedule or (ii) abide by a transmitting utility’s tariff and scheduling policies.  Seller shall assume all liability for and reimburse Buyer within thirty (30) days of presentation of an invoice for any Penalties incurred as a result of Seller’s failure to (i) notify Buyer of a failure to Schedule or a change in a Schedule or (ii) abide by a transmitting utility’s tariff and scheduling policies.  The Parties shall promptly notify each other as soon as possible of any imbalance that is occurring or has occurred and shall cooperate to eliminate imbalances and minimize Penalties to the extent possible.  Penalties shall be defined as any fees, liabilities, assessments or similar charges assessed by a Transmission Provider as a result of a Party’s failure to comply with its obligations hereunder.”</w:t>
      </w:r>
    </w:p>
    <w:p>
      <w:pPr>
        <w:pStyle w:val="Normal"/>
        <w:tabs>
          <w:tab w:val="clear" w:pos="720"/>
          <w:tab w:val="left" w:pos="360" w:leader="none"/>
          <w:tab w:val="right" w:pos="6012" w:leader="none"/>
        </w:tabs>
        <w:spacing w:before="0" w:after="120"/>
        <w:jc w:val="both"/>
        <w:rPr>
          <w:b/>
          <w:sz w:val="20"/>
        </w:rPr>
      </w:pPr>
      <w:r>
        <w:rPr>
          <w:b/>
          <w:sz w:val="20"/>
        </w:rPr>
      </w:r>
    </w:p>
    <w:p>
      <w:pPr>
        <w:pStyle w:val="Normal"/>
        <w:tabs>
          <w:tab w:val="clear" w:pos="720"/>
          <w:tab w:val="left" w:pos="360" w:leader="none"/>
          <w:tab w:val="right" w:pos="6012" w:leader="none"/>
        </w:tabs>
        <w:spacing w:before="0" w:after="120"/>
        <w:jc w:val="both"/>
        <w:rPr/>
      </w:pPr>
      <w:r>
        <w:rPr>
          <w:b/>
          <w:sz w:val="20"/>
        </w:rPr>
        <w:t xml:space="preserve">(c) </w:t>
      </w:r>
      <w:r>
        <w:rPr>
          <w:sz w:val="20"/>
        </w:rPr>
        <w:t xml:space="preserve"> </w:t>
      </w:r>
      <w:r>
        <w:rPr>
          <w:b/>
          <w:sz w:val="20"/>
        </w:rPr>
        <w:t>Events of Default</w:t>
      </w:r>
      <w:r>
        <w:rPr>
          <w:sz w:val="20"/>
        </w:rPr>
        <w:t xml:space="preserve">.  The following language shall be deleted from Section 5.1(g):   “, or becoming capable at such time of being declared." </w:t>
      </w:r>
    </w:p>
    <w:p>
      <w:pPr>
        <w:pStyle w:val="Normal"/>
        <w:tabs>
          <w:tab w:val="clear" w:pos="720"/>
          <w:tab w:val="left" w:pos="360" w:leader="none"/>
          <w:tab w:val="right" w:pos="6012" w:leader="none"/>
        </w:tabs>
        <w:spacing w:before="0" w:after="120"/>
        <w:jc w:val="both"/>
        <w:rPr>
          <w:b/>
        </w:rPr>
      </w:pPr>
      <w:r>
        <w:rPr>
          <w:b/>
          <w:sz w:val="20"/>
        </w:rPr>
        <w:t xml:space="preserve">(d) </w:t>
      </w:r>
      <w:r>
        <w:rPr>
          <w:sz w:val="20"/>
        </w:rPr>
        <w:t xml:space="preserve"> </w:t>
      </w:r>
      <w:r>
        <w:rPr>
          <w:b/>
          <w:sz w:val="20"/>
        </w:rPr>
        <w:t xml:space="preserve">Declaration of an Early Termination Date and Calculation of Settlement Amount.  </w:t>
      </w:r>
      <w:r>
        <w:rPr>
          <w:sz w:val="20"/>
        </w:rPr>
        <w:t>The following shall be added to the end of Section 5.2: Notwithstanding the other provisions of this Agreement, if the Non-Defaulting Party has the right to liquidate or terminate all obligations arising under the Transactions under the provisions of this Article 5 because the Defaulting Party either (a) is the subject of a bankruptcy, insolvency, or similar proceeding, or (b) applies for, seeks, consents to, or acquiesces in the appointment of a receiver, custodian, trustee, liquidator, or similar official for all or a substantial portion of its assets, then this agreement and all associated transactions shall automatically terminate, without notice, as if the Early Termination Date was the day immediately preceding the events listed in Section 5.1.”</w:t>
      </w:r>
    </w:p>
    <w:p>
      <w:pPr>
        <w:pStyle w:val="Normal"/>
        <w:spacing w:before="0" w:after="120"/>
        <w:jc w:val="both"/>
        <w:rPr/>
      </w:pPr>
      <w:r>
        <w:rPr>
          <w:b/>
          <w:sz w:val="20"/>
        </w:rPr>
        <w:t>(e)  Suspension of Performance.</w:t>
      </w:r>
      <w:r>
        <w:rPr>
          <w:sz w:val="20"/>
        </w:rPr>
        <w:t xml:space="preserve">  The following language shall be deleted from Section 5.7:   the phrase:  “or (b) a Potential Event of Default”, and the caption “(a)”.</w:t>
      </w:r>
    </w:p>
    <w:p>
      <w:pPr>
        <w:pStyle w:val="Normal"/>
        <w:spacing w:before="0" w:after="120"/>
        <w:jc w:val="both"/>
        <w:rPr/>
      </w:pPr>
      <w:r>
        <w:rPr>
          <w:b/>
          <w:sz w:val="20"/>
        </w:rPr>
        <w:t>(f)  Credit Assurances</w:t>
      </w:r>
      <w:r>
        <w:rPr>
          <w:sz w:val="20"/>
        </w:rPr>
        <w:t xml:space="preserve">.  </w:t>
      </w:r>
    </w:p>
    <w:p>
      <w:pPr>
        <w:pStyle w:val="Normal"/>
        <w:spacing w:before="0" w:after="120"/>
        <w:ind w:firstLine="720" w:end="0"/>
        <w:jc w:val="both"/>
        <w:rPr>
          <w:sz w:val="20"/>
        </w:rPr>
      </w:pPr>
      <w:r>
        <w:rPr>
          <w:sz w:val="20"/>
        </w:rPr>
        <w:t>(1)  Section 8.1(b) is amended by replacing the current language with the following:</w:t>
      </w:r>
    </w:p>
    <w:p>
      <w:pPr>
        <w:pStyle w:val="Normal"/>
        <w:spacing w:before="0" w:after="120"/>
        <w:ind w:start="720" w:end="0"/>
        <w:jc w:val="both"/>
        <w:rPr>
          <w:sz w:val="20"/>
        </w:rPr>
      </w:pPr>
      <w:r>
        <w:rPr>
          <w:sz w:val="20"/>
        </w:rPr>
        <w:t>“</w:t>
      </w:r>
      <w:r>
        <w:rPr>
          <w:sz w:val="20"/>
        </w:rPr>
        <w:t>If Party A has reasonable grounds to believe that Party B’s ability to perform under this Agreement is materially impaired, Party A will provide Party B with written notice requesting Performance Assurance determined in a commercially reasonable manner.  Upon receipt of such notice by Party B, the Parties shall have three (3) Business Days to remedy the situation by determining such Performance Assurance owed, which shall be delivered to or concluded with Party A no later than three (3) Business Days after the Performance Assurance was agreed to by the Parties.  In the event that Party B fails to provide such Performance Assurance in such time period, then an Event of Default under Article Five will be deemed to have occurred, and Party A will be entitled to the remedies set forth in Article Five of this Master Agreement.”</w:t>
      </w:r>
    </w:p>
    <w:p>
      <w:pPr>
        <w:pStyle w:val="Normal"/>
        <w:spacing w:before="0" w:after="120"/>
        <w:ind w:firstLine="720" w:end="0"/>
        <w:jc w:val="both"/>
        <w:rPr>
          <w:sz w:val="20"/>
        </w:rPr>
      </w:pPr>
      <w:r>
        <w:rPr>
          <w:sz w:val="20"/>
        </w:rPr>
        <w:t>(2) Section 8.2(b) is amended by replacing the current language with the following:</w:t>
      </w:r>
    </w:p>
    <w:p>
      <w:pPr>
        <w:pStyle w:val="Normal"/>
        <w:spacing w:before="0" w:after="120"/>
        <w:ind w:start="720" w:end="0"/>
        <w:jc w:val="both"/>
        <w:rPr>
          <w:sz w:val="20"/>
        </w:rPr>
      </w:pPr>
      <w:r>
        <w:rPr>
          <w:sz w:val="20"/>
        </w:rPr>
        <w:t>“</w:t>
      </w:r>
      <w:r>
        <w:rPr>
          <w:sz w:val="20"/>
        </w:rPr>
        <w:t>If Party B has reasonable grounds to believe that Party A’s ability to perform under this Agreement is materially impaired, Party B will provide Party A with written notice requesting Performance Assurance determined in a commercially reasonable manner.  Upon receipt of such notice by Party A, the Parties shall have three (3) Business Days to remedy the situation by determining such Performance Assurance owed, which shall be delivered to or concluded with Party B no later than three (3) Business Days after the Performance Assurance was agreed to by the Parties.  In the event that Party A fails to provide such Performance Assurance in such time period, then an Event of Default under Article Five will be deemed to have occurred, and Party B will be entitled to the remedies set forth in Article Five of this Master Agreement.”</w:t>
      </w:r>
    </w:p>
    <w:p>
      <w:pPr>
        <w:pStyle w:val="Normal"/>
        <w:spacing w:before="0" w:after="120"/>
        <w:jc w:val="both"/>
        <w:rPr/>
      </w:pPr>
      <w:r>
        <w:rPr>
          <w:b/>
          <w:sz w:val="20"/>
        </w:rPr>
        <w:t>(g)   Grant of Security Interest/Remedies.</w:t>
      </w:r>
      <w:r>
        <w:rPr>
          <w:sz w:val="20"/>
        </w:rPr>
        <w:t xml:space="preserve">  The following language shall be deleted from the beginning of the second sentence of Section 8.3:  the phrase “or deemed occurrence”.</w:t>
      </w:r>
    </w:p>
    <w:p>
      <w:pPr>
        <w:pStyle w:val="Normal"/>
        <w:spacing w:before="0" w:after="120"/>
        <w:jc w:val="both"/>
        <w:rPr/>
      </w:pPr>
      <w:r>
        <w:rPr>
          <w:b/>
          <w:sz w:val="20"/>
        </w:rPr>
        <w:t>(h)   Representations and Warranties</w:t>
      </w:r>
      <w:r>
        <w:rPr>
          <w:sz w:val="20"/>
        </w:rPr>
        <w:t xml:space="preserve">.  </w:t>
      </w:r>
    </w:p>
    <w:p>
      <w:pPr>
        <w:pStyle w:val="Normal"/>
        <w:spacing w:before="0" w:after="120"/>
        <w:ind w:start="720" w:end="0"/>
        <w:jc w:val="both"/>
        <w:rPr/>
      </w:pPr>
      <w:r>
        <w:rPr>
          <w:sz w:val="20"/>
        </w:rPr>
        <w:t>(1) Create subsection (a) to Section 10.2, which shall be the language currently contained in Section 10.2, and create a new subsection (b), which shall read</w:t>
      </w:r>
      <w:r>
        <w:rPr>
          <w:b/>
          <w:sz w:val="20"/>
        </w:rPr>
        <w:t xml:space="preserve"> </w:t>
      </w:r>
      <w:r>
        <w:rPr>
          <w:sz w:val="20"/>
        </w:rPr>
        <w:t>as follows:</w:t>
      </w:r>
    </w:p>
    <w:p>
      <w:pPr>
        <w:pStyle w:val="BodyTextIndent3"/>
        <w:tabs>
          <w:tab w:val="clear" w:pos="360"/>
        </w:tabs>
        <w:rPr/>
      </w:pPr>
      <w:r>
        <w:rPr/>
        <w:t>“</w:t>
      </w:r>
      <w:r>
        <w:rPr/>
        <w:t>On the Effective Date and the date of entering into each Transaction, Buyer represents, warrants, and covenants to Seller that, for the duration of this Agreement, the Product(s) purchased hereunder will be resold only to an entity which shall directly deliver the Product(s) for consumption by end use customers.”</w:t>
      </w:r>
    </w:p>
    <w:p>
      <w:pPr>
        <w:pStyle w:val="Normal"/>
        <w:spacing w:before="0" w:after="120"/>
        <w:ind w:start="720" w:end="0"/>
        <w:jc w:val="both"/>
        <w:rPr>
          <w:sz w:val="20"/>
        </w:rPr>
      </w:pPr>
      <w:r>
        <w:rPr>
          <w:sz w:val="20"/>
        </w:rPr>
        <w:t>(2)  The phrase “or any of its Affiliates” shall be deleted in the new Section 10.2(a)(vi).</w:t>
      </w:r>
    </w:p>
    <w:p>
      <w:pPr>
        <w:pStyle w:val="Normal"/>
        <w:spacing w:before="0" w:after="120"/>
        <w:jc w:val="both"/>
        <w:rPr/>
      </w:pPr>
      <w:r>
        <w:rPr>
          <w:b/>
          <w:sz w:val="20"/>
        </w:rPr>
        <w:t>(i)   Governing Law</w:t>
      </w:r>
      <w:r>
        <w:rPr>
          <w:sz w:val="20"/>
        </w:rPr>
        <w:t>.  In Section 10.6, “New York” shall be replaced with “California”.</w:t>
      </w:r>
    </w:p>
    <w:p>
      <w:pPr>
        <w:pStyle w:val="Normal"/>
        <w:spacing w:before="0" w:after="120"/>
        <w:jc w:val="both"/>
        <w:rPr>
          <w:b/>
          <w:sz w:val="20"/>
        </w:rPr>
      </w:pPr>
      <w:r>
        <w:rPr>
          <w:b/>
          <w:sz w:val="20"/>
        </w:rPr>
        <w:t>(j)   Material Changes.</w:t>
      </w:r>
      <w:r>
        <w:rPr>
          <w:sz w:val="20"/>
        </w:rPr>
        <w:t xml:space="preserve">  In the ninth sentence of Section 10.8, insert “materially impacted or” after the phrase “Any provision”, and insert “and materially impacted by or” after the phrase “or regulatory agency”. </w:t>
      </w:r>
    </w:p>
    <w:p>
      <w:pPr>
        <w:pStyle w:val="Normal"/>
        <w:spacing w:before="0" w:after="120"/>
        <w:jc w:val="both"/>
        <w:rPr/>
      </w:pPr>
      <w:r>
        <w:rPr>
          <w:b/>
          <w:sz w:val="20"/>
        </w:rPr>
        <w:t xml:space="preserve">(k)  Dispute Resolution.  </w:t>
      </w:r>
      <w:r>
        <w:rPr>
          <w:sz w:val="20"/>
        </w:rPr>
        <w:t>Add a new section to Article 10 as follows:</w:t>
      </w:r>
    </w:p>
    <w:p>
      <w:pPr>
        <w:pStyle w:val="BodyTextFirstIndent"/>
        <w:rPr>
          <w:b/>
          <w:sz w:val="20"/>
        </w:rPr>
      </w:pPr>
      <w:r>
        <w:rPr>
          <w:b/>
          <w:sz w:val="20"/>
        </w:rPr>
        <w:t>10.12</w:t>
        <w:tab/>
        <w:t>Dispute Resolution.</w:t>
      </w:r>
    </w:p>
    <w:p>
      <w:pPr>
        <w:pStyle w:val="BodyTextFirstIndent"/>
        <w:ind w:start="720" w:end="0"/>
        <w:rPr>
          <w:sz w:val="20"/>
        </w:rPr>
      </w:pPr>
      <w:r>
        <w:rPr>
          <w:sz w:val="20"/>
        </w:rPr>
        <w:t>(a)</w:t>
        <w:tab/>
        <w:t xml:space="preserve">If a dispute shall arise between the Parties relating to the interpretation of this Agreement or to performance of any Transaction under it, the Party desiring resolution of the dispute shall notify the other Party in writing.  The notice shall set forth the matter in dispute in reasonable detail and a proposed solution.  </w:t>
      </w:r>
    </w:p>
    <w:p>
      <w:pPr>
        <w:pStyle w:val="Normal"/>
        <w:ind w:start="720" w:end="0"/>
        <w:rPr>
          <w:sz w:val="20"/>
        </w:rPr>
      </w:pPr>
      <w:r>
        <w:rPr>
          <w:sz w:val="20"/>
        </w:rPr>
        <w:tab/>
        <w:t>(b)</w:t>
        <w:tab/>
        <w:t>The Parties shall attempt to resolve any dispute within 30 calendar days after delivery of the written notice referred to above.  Any disputes not so resolved shall be referred by each Party to an officer (or the officer's designee) for resolution.  If the Parties fail to reach an agreement within 30 days after such referral, each Party shall have the right to pursue any and all remedies provided in this Agreement and as afforded by law.</w:t>
      </w:r>
    </w:p>
    <w:p>
      <w:pPr>
        <w:pStyle w:val="Normal"/>
        <w:ind w:start="720" w:end="0"/>
        <w:rPr>
          <w:sz w:val="20"/>
        </w:rPr>
      </w:pPr>
      <w:r>
        <w:rPr>
          <w:sz w:val="20"/>
        </w:rPr>
      </w:r>
    </w:p>
    <w:p>
      <w:pPr>
        <w:pStyle w:val="Normal"/>
        <w:ind w:start="720" w:end="0"/>
        <w:rPr>
          <w:sz w:val="20"/>
        </w:rPr>
      </w:pPr>
      <w:r>
        <w:rPr>
          <w:sz w:val="20"/>
        </w:rPr>
        <w:tab/>
        <w:t>(c)</w:t>
        <w:tab/>
        <w:t>The existence of any dispute or controversy under this Agreement or the pendancy of the dispute settlement or resolution procedures set forth herein shall not in and of themselves relieve or excuse either Party from its ongoing duties and obligations under this Agreement.</w:t>
      </w:r>
    </w:p>
    <w:p>
      <w:pPr>
        <w:pStyle w:val="Normal"/>
        <w:rPr>
          <w:sz w:val="20"/>
        </w:rPr>
      </w:pPr>
      <w:r>
        <w:rPr>
          <w:sz w:val="20"/>
        </w:rPr>
      </w:r>
    </w:p>
    <w:p>
      <w:pPr>
        <w:pStyle w:val="Normal"/>
        <w:spacing w:before="0" w:after="120"/>
        <w:jc w:val="both"/>
        <w:rPr/>
      </w:pPr>
      <w:r>
        <w:rPr>
          <w:b/>
          <w:sz w:val="20"/>
        </w:rPr>
        <w:t xml:space="preserve">(l)  Change in Rates.   </w:t>
      </w:r>
      <w:r>
        <w:rPr>
          <w:sz w:val="20"/>
        </w:rPr>
        <w:t>Add a new section to Article 10 as follows:</w:t>
      </w:r>
    </w:p>
    <w:p>
      <w:pPr>
        <w:pStyle w:val="BodyText2"/>
        <w:tabs>
          <w:tab w:val="clear" w:pos="4320"/>
        </w:tabs>
        <w:rPr>
          <w:b w:val="false"/>
          <w:sz w:val="20"/>
        </w:rPr>
      </w:pPr>
      <w:r>
        <w:rPr>
          <w:b w:val="false"/>
          <w:sz w:val="20"/>
        </w:rPr>
      </w:r>
    </w:p>
    <w:p>
      <w:pPr>
        <w:pStyle w:val="BodyText2"/>
        <w:tabs>
          <w:tab w:val="clear" w:pos="4320"/>
        </w:tabs>
        <w:ind w:start="720" w:end="0"/>
        <w:rPr/>
      </w:pPr>
      <w:r>
        <w:rPr/>
        <w:t>10.14</w:t>
        <w:tab/>
        <w:t xml:space="preserve">Changes in Rates.   </w:t>
      </w:r>
      <w:r>
        <w:rPr>
          <w:b w:val="false"/>
        </w:rPr>
        <w:t xml:space="preserve">The terms and conditions and the rates for service specified herein shall remain in effect for the term of ____, or ____, and shall not be subject to change through application to the Federal Energy Regulatory Commission by either Party, including the State of California and any of its agencies, pursuant to the provisions of Section 205 or 206 of the Federal Power Act.  Each Party expressly agrees that it will not make any filings under either Section 205 or Section 206 of the Federal Power Act to revise this rate schedule.  If, however, a third party should make such a filing, the proponent will be required to meet the public interest standard as expressed in the </w:t>
      </w:r>
      <w:r>
        <w:rPr>
          <w:b w:val="false"/>
          <w:i/>
        </w:rPr>
        <w:t>Mobile-Sierra</w:t>
      </w:r>
      <w:r>
        <w:rPr>
          <w:b w:val="false"/>
        </w:rPr>
        <w:t xml:space="preserve"> doctrine under Section 206 of the Federal Power Act and </w:t>
      </w:r>
      <w:r>
        <w:rPr>
          <w:b w:val="false"/>
          <w:i/>
        </w:rPr>
        <w:t>Potomac Elec. Power Co. v. FERC</w:t>
      </w:r>
      <w:r>
        <w:rPr>
          <w:b w:val="false"/>
        </w:rPr>
        <w:t xml:space="preserve">, 210 F.3d 403, 409-10 (D.C. Cir. 2000).  Each Party expressly retains its rights to protest or otherwise challenge any such revisions or filings.”  </w:t>
      </w:r>
    </w:p>
    <w:p>
      <w:pPr>
        <w:pStyle w:val="BodyText2"/>
        <w:tabs>
          <w:tab w:val="clear" w:pos="4320"/>
        </w:tabs>
        <w:rPr>
          <w:b w:val="false"/>
        </w:rPr>
      </w:pPr>
      <w:r>
        <w:rPr>
          <w:b w:val="false"/>
        </w:rPr>
      </w:r>
    </w:p>
    <w:p>
      <w:pPr>
        <w:pStyle w:val="BodyText2"/>
        <w:tabs>
          <w:tab w:val="clear" w:pos="4320"/>
        </w:tabs>
        <w:rPr/>
      </w:pPr>
      <w:r>
        <w:rPr/>
        <w:t>(m)  Schedule M.</w:t>
      </w:r>
      <w:r>
        <w:rPr>
          <w:b w:val="false"/>
        </w:rPr>
        <w:t xml:space="preserve">  Schedule M shall be amended as follows:</w:t>
      </w:r>
    </w:p>
    <w:p>
      <w:pPr>
        <w:pStyle w:val="BodyText2"/>
        <w:tabs>
          <w:tab w:val="clear" w:pos="4320"/>
        </w:tabs>
        <w:rPr>
          <w:b w:val="false"/>
        </w:rPr>
      </w:pPr>
      <w:r>
        <w:rPr>
          <w:b w:val="false"/>
        </w:rPr>
      </w:r>
    </w:p>
    <w:p>
      <w:pPr>
        <w:pStyle w:val="Normal"/>
        <w:spacing w:before="0" w:after="120"/>
        <w:ind w:firstLine="720" w:end="0"/>
        <w:jc w:val="both"/>
        <w:rPr>
          <w:sz w:val="20"/>
        </w:rPr>
      </w:pPr>
      <w:r>
        <w:rPr>
          <w:sz w:val="20"/>
        </w:rPr>
        <w:t>(1)  In Section A, “Act” will mean _____________.</w:t>
      </w:r>
    </w:p>
    <w:p>
      <w:pPr>
        <w:pStyle w:val="Normal"/>
        <w:spacing w:before="0" w:after="120"/>
        <w:ind w:start="720" w:end="0"/>
        <w:jc w:val="both"/>
        <w:rPr>
          <w:sz w:val="20"/>
        </w:rPr>
      </w:pPr>
      <w:r>
        <w:rPr>
          <w:sz w:val="20"/>
        </w:rPr>
        <w:t>(2)  In Section A, the definition of “Governmental Entity” shall be amended by replacing the current language with the following:  “Governmental Entity” means the State of California or an agency or political subdivision thereof.”</w:t>
      </w:r>
    </w:p>
    <w:p>
      <w:pPr>
        <w:pStyle w:val="Normal"/>
        <w:spacing w:before="0" w:after="120"/>
        <w:ind w:firstLine="720" w:end="0"/>
        <w:jc w:val="both"/>
        <w:rPr>
          <w:sz w:val="20"/>
        </w:rPr>
      </w:pPr>
      <w:r>
        <w:rPr>
          <w:sz w:val="20"/>
        </w:rPr>
        <w:t>(3)  Delete all references to “Public Power System” in Schedule M.</w:t>
      </w:r>
    </w:p>
    <w:p>
      <w:pPr>
        <w:pStyle w:val="Normal"/>
        <w:spacing w:before="0" w:after="120"/>
        <w:ind w:firstLine="720" w:end="0"/>
        <w:jc w:val="both"/>
        <w:rPr>
          <w:sz w:val="20"/>
        </w:rPr>
      </w:pPr>
      <w:r>
        <w:rPr>
          <w:sz w:val="20"/>
        </w:rPr>
        <w:t>(4)  In Section F, the collateral to be specified is “the Special Fund”.</w:t>
      </w:r>
    </w:p>
    <w:p>
      <w:pPr>
        <w:pStyle w:val="BodyText2"/>
        <w:tabs>
          <w:tab w:val="clear" w:pos="4320"/>
        </w:tabs>
        <w:ind w:start="720" w:end="0"/>
        <w:rPr>
          <w:b w:val="false"/>
        </w:rPr>
      </w:pPr>
      <w:r>
        <w:rPr>
          <w:b w:val="false"/>
        </w:rPr>
        <w:t>(5)  In Section G, specify that the laws of the State of California will apply.</w:t>
      </w:r>
    </w:p>
    <w:p>
      <w:pPr>
        <w:pStyle w:val="BodyText2"/>
        <w:tabs>
          <w:tab w:val="clear" w:pos="4320"/>
        </w:tabs>
        <w:ind w:start="720" w:end="0"/>
        <w:rPr>
          <w:b w:val="false"/>
        </w:rPr>
      </w:pPr>
      <w:r>
        <w:rPr>
          <w:b w:val="false"/>
        </w:rPr>
      </w:r>
    </w:p>
    <w:p>
      <w:pPr>
        <w:pStyle w:val="BodyText2"/>
        <w:tabs>
          <w:tab w:val="clear" w:pos="4320"/>
        </w:tabs>
        <w:ind w:start="720" w:end="0"/>
        <w:rPr>
          <w:b w:val="false"/>
        </w:rPr>
      </w:pPr>
      <w:r>
        <w:rPr>
          <w:b w:val="false"/>
        </w:rPr>
        <w:t>(6)  Add a new Section H, which shall read as follows:  “Party B covenants and agrees that it will not take any action with respect to this Agreement that is intended to have an adverse impact on or otherwise limit or alter the economic benefits and burdens conferred on Party A .  The foregoing shall not be construed as depriving the State of its general powers of legislation and regulation.”</w:t>
      </w:r>
    </w:p>
    <w:p>
      <w:pPr>
        <w:pStyle w:val="BodyText2"/>
        <w:jc w:val="both"/>
        <w:rPr>
          <w:b w:val="false"/>
        </w:rPr>
      </w:pPr>
      <w:r>
        <w:rPr>
          <w:b w:val="false"/>
        </w:rPr>
      </w:r>
    </w:p>
    <w:p>
      <w:pPr>
        <w:pStyle w:val="PlainText"/>
        <w:spacing w:before="0" w:after="120"/>
        <w:rPr/>
      </w:pPr>
      <w:r>
        <w:rPr/>
        <w:t>IN WITNESS WHEREOF, the Parties have caused this Master Agreement to be duly executed as of the date first above written.</w:t>
      </w:r>
    </w:p>
    <w:p>
      <w:pPr>
        <w:pStyle w:val="Signature-dbl"/>
        <w:rPr/>
      </w:pPr>
      <w:r>
        <w:rPr>
          <w:sz w:val="20"/>
        </w:rPr>
        <w:t>Party A –</w:t>
      </w:r>
      <w:r>
        <w:rPr>
          <w:sz w:val="20"/>
          <w:u w:val="single"/>
        </w:rPr>
        <w:tab/>
      </w:r>
      <w:r>
        <w:rPr>
          <w:sz w:val="20"/>
        </w:rPr>
        <w:tab/>
        <w:t>Party B – ___________________________________</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sz w:val="20"/>
        </w:rPr>
      </w:pPr>
      <w:r>
        <w:rPr>
          <w:sz w:val="20"/>
        </w:rPr>
      </w:r>
      <w:r>
        <w:br w:type="page"/>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smallCaps/>
          <w:sz w:val="40"/>
        </w:rPr>
      </w:pPr>
      <w:r>
        <w:rPr>
          <w:b/>
          <w:smallCaps/>
          <w:sz w:val="40"/>
        </w:rPr>
        <w:t>Tab C</w:t>
      </w:r>
    </w:p>
    <w:p>
      <w:pPr>
        <w:pStyle w:val="Normal"/>
        <w:jc w:val="center"/>
        <w:rPr>
          <w:b/>
          <w:smallCaps/>
          <w:sz w:val="40"/>
        </w:rPr>
      </w:pPr>
      <w:r>
        <w:rPr>
          <w:b/>
          <w:smallCaps/>
          <w:sz w:val="40"/>
        </w:rPr>
        <w:t>Product Definitions</w:t>
      </w:r>
    </w:p>
    <w:p>
      <w:pPr>
        <w:pStyle w:val="Normal"/>
        <w:rPr>
          <w:b/>
          <w:smallCaps/>
          <w:sz w:val="40"/>
        </w:rPr>
      </w:pPr>
      <w:r>
        <w:rPr>
          <w:b/>
          <w:smallCaps/>
          <w:sz w:val="40"/>
        </w:rPr>
      </w:r>
      <w:r>
        <w:br w:type="page"/>
      </w:r>
    </w:p>
    <w:p>
      <w:pPr>
        <w:pStyle w:val="Normal"/>
        <w:jc w:val="center"/>
        <w:rPr>
          <w:b/>
        </w:rPr>
      </w:pPr>
      <w:r>
        <w:rPr>
          <w:b/>
        </w:rPr>
        <w:t xml:space="preserve"> </w:t>
      </w:r>
      <w:r>
        <w:rPr>
          <w:b/>
        </w:rPr>
        <w:t>Definition of Products</w:t>
      </w:r>
    </w:p>
    <w:p>
      <w:pPr>
        <w:pStyle w:val="Normal"/>
        <w:rPr/>
      </w:pPr>
      <w:r>
        <w:rPr/>
      </w:r>
    </w:p>
    <w:p>
      <w:pPr>
        <w:pStyle w:val="Normal"/>
        <w:rPr/>
      </w:pPr>
      <w:r>
        <w:rPr/>
      </w:r>
    </w:p>
    <w:p>
      <w:pPr>
        <w:pStyle w:val="Normal"/>
        <w:rPr/>
      </w:pPr>
      <w:r>
        <w:rPr/>
        <w:t>The four product types are:</w:t>
      </w:r>
    </w:p>
    <w:p>
      <w:pPr>
        <w:pStyle w:val="Normal"/>
        <w:rPr/>
      </w:pPr>
      <w:r>
        <w:rPr/>
      </w:r>
    </w:p>
    <w:p>
      <w:pPr>
        <w:pStyle w:val="Normal"/>
        <w:numPr>
          <w:ilvl w:val="0"/>
          <w:numId w:val="3"/>
        </w:numPr>
        <w:rPr/>
      </w:pPr>
      <w:r>
        <w:rPr>
          <w:b/>
          <w:u w:val="single"/>
        </w:rPr>
        <w:t>7 x 24 Firm Energy Standard Product</w:t>
      </w:r>
      <w:r>
        <w:rPr>
          <w:b/>
        </w:rPr>
        <w:t>:</w:t>
      </w:r>
      <w:r>
        <w:rPr/>
        <w:t xml:space="preserve">  This product provides firm energy at a fixed price on standard terms.  Offers shall provide minimum delivery periods of one month, one quarter, one year, or longer.</w:t>
      </w:r>
    </w:p>
    <w:p>
      <w:pPr>
        <w:pStyle w:val="Normal"/>
        <w:numPr>
          <w:ilvl w:val="0"/>
          <w:numId w:val="0"/>
        </w:numPr>
        <w:ind w:hanging="0" w:start="0"/>
        <w:rPr/>
      </w:pPr>
      <w:r>
        <w:rPr/>
      </w:r>
    </w:p>
    <w:p>
      <w:pPr>
        <w:pStyle w:val="Normal"/>
        <w:numPr>
          <w:ilvl w:val="0"/>
          <w:numId w:val="3"/>
        </w:numPr>
        <w:rPr/>
      </w:pPr>
      <w:r>
        <w:rPr>
          <w:b/>
          <w:u w:val="single"/>
        </w:rPr>
        <w:t>6 x 16 Firm Energy Standard Product</w:t>
      </w:r>
      <w:r>
        <w:rPr>
          <w:b/>
        </w:rPr>
        <w:t>:</w:t>
      </w:r>
      <w:r>
        <w:rPr/>
        <w:t xml:space="preserve">  This product provides firm energy at a fixed price on standard terms.  Offers shall provide minimum delivery periods of one month, one quarter, one year, or longer.</w:t>
      </w:r>
    </w:p>
    <w:p>
      <w:pPr>
        <w:pStyle w:val="Normal"/>
        <w:numPr>
          <w:ilvl w:val="0"/>
          <w:numId w:val="0"/>
        </w:numPr>
        <w:ind w:hanging="0" w:start="0"/>
        <w:rPr/>
      </w:pPr>
      <w:r>
        <w:rPr/>
      </w:r>
    </w:p>
    <w:p>
      <w:pPr>
        <w:pStyle w:val="Normal"/>
        <w:numPr>
          <w:ilvl w:val="0"/>
          <w:numId w:val="3"/>
        </w:numPr>
        <w:rPr/>
      </w:pPr>
      <w:r>
        <w:rPr>
          <w:b/>
          <w:u w:val="single"/>
        </w:rPr>
        <w:t>Capacity with Specified, Minimum Energy Component</w:t>
      </w:r>
      <w:r>
        <w:rPr>
          <w:b/>
        </w:rPr>
        <w:t>:</w:t>
      </w:r>
      <w:r>
        <w:rPr/>
        <w:t xml:space="preserve">  This product provides firm capacity and specified amounts of firm energy to be delivered on specified days.  Sellers can fully hedge the fuel supply.  Buyer can shape delivery within facility limits specified by seller;  such shape will be provided to seller on an hourly basis for each delivery day.  On an hourly basis, buyer can use the capacity in excess of the shaped amount.  Energy in excess of the specified amount will be priced to reflect the spot price of natural gas and the marginal cost of emission credits.   Offer shall provide minimum delivery periods of one month, one quarter, one year, or longer. Sellers should identify any applicable NOx emissions credit costs required to produce energy from specified facilities which would be paid by buyer.</w:t>
      </w:r>
    </w:p>
    <w:p>
      <w:pPr>
        <w:pStyle w:val="Normal"/>
        <w:rPr/>
      </w:pPr>
      <w:r>
        <w:rPr/>
        <w:t xml:space="preserve">  </w:t>
      </w:r>
    </w:p>
    <w:p>
      <w:pPr>
        <w:pStyle w:val="Normal"/>
        <w:numPr>
          <w:ilvl w:val="0"/>
          <w:numId w:val="3"/>
        </w:numPr>
        <w:rPr/>
      </w:pPr>
      <w:r>
        <w:rPr>
          <w:b/>
          <w:u w:val="single"/>
        </w:rPr>
        <w:t>Capacity, including Ancillary Services</w:t>
      </w:r>
      <w:r>
        <w:rPr>
          <w:b/>
        </w:rPr>
        <w:t>:</w:t>
      </w:r>
      <w:r>
        <w:rPr/>
        <w:t xml:space="preserve">  No minimum energy requirement is associated with this product, and all energy called is therefore priced to reflect the spot price of natural gas and the marginal cost of emissions credits, if applicable.  Capability of capacity to provide regulation and to meet requirements for spinning reserve, non-spinning reserve and replacement reserve are to be specified.  Offers shall provide minimum delivery periods of one month, one quarter, one year, or longer.</w:t>
      </w:r>
    </w:p>
    <w:p>
      <w:pPr>
        <w:pStyle w:val="Normal"/>
        <w:rPr/>
      </w:pPr>
      <w:r>
        <w:rPr/>
      </w:r>
    </w:p>
    <w:p>
      <w:pPr>
        <w:pStyle w:val="Normal"/>
        <w:rPr/>
      </w:pPr>
      <w:r>
        <w:rPr/>
        <w:t>The RFO solicits separate cost information for NO</w:t>
      </w:r>
      <w:r>
        <w:rPr>
          <w:vertAlign w:val="subscript"/>
        </w:rPr>
        <w:t>x</w:t>
      </w:r>
      <w:r>
        <w:rPr/>
        <w:t xml:space="preserve"> credits.  Bidders who do not wish to make firm commitments to natural gas prices for Product 3 can provide capacity-only tolling services under Product 4.  In such event, the State will need to procure delivered natural gas.  The State will also procure balancing services for the portfolio by buying and selling imbalance energy in the spot markets.</w:t>
      </w:r>
    </w:p>
    <w:p>
      <w:pPr>
        <w:pStyle w:val="Normal"/>
        <w:rPr/>
      </w:pPr>
      <w:r>
        <w:rPr/>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WP MathA">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Normally, a contract that is less “firm” can be purchased at lower cost.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i/>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outlineLvl w:val="3"/>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rFonts w:ascii="Symbol" w:hAnsi="Symbol" w:cs="Symbol"/>
    </w:rPr>
  </w:style>
  <w:style w:type="character" w:styleId="WW8Num13z0">
    <w:name w:val="WW8Num13z0"/>
    <w:qFormat/>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sz w:val="22"/>
    </w:rPr>
  </w:style>
  <w:style w:type="character" w:styleId="WW8Num20z0">
    <w:name w:val="WW8Num20z0"/>
    <w:qFormat/>
    <w:rPr/>
  </w:style>
  <w:style w:type="character" w:styleId="WW8Num21z0">
    <w:name w:val="WW8Num21z0"/>
    <w:qFormat/>
    <w:rPr>
      <w:b/>
      <w:sz w:val="22"/>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b w:val="false"/>
    </w:rPr>
  </w:style>
  <w:style w:type="character" w:styleId="WW8Num25z0">
    <w:name w:val="WW8Num25z0"/>
    <w:qFormat/>
    <w:rPr/>
  </w:style>
  <w:style w:type="character" w:styleId="WW8Num26z0">
    <w:name w:val="WW8Num26z0"/>
    <w:qFormat/>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b/>
    </w:rPr>
  </w:style>
  <w:style w:type="character" w:styleId="WW8Num35z0">
    <w:name w:val="WW8Num35z0"/>
    <w:qFormat/>
    <w:rPr>
      <w:rFonts w:ascii="Wingdings" w:hAnsi="Wingdings" w:cs="Wingdings"/>
    </w:rPr>
  </w:style>
  <w:style w:type="character" w:styleId="WW8Num37z0">
    <w:name w:val="WW8Num37z0"/>
    <w:qFormat/>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7z0">
    <w:name w:val="WW8Num47z0"/>
    <w:qFormat/>
    <w:rPr>
      <w:rFonts w:ascii="Wingdings" w:hAnsi="Wingdings" w:cs="Wingdings"/>
    </w:rPr>
  </w:style>
  <w:style w:type="character" w:styleId="WW8Num49z0">
    <w:name w:val="WW8Num49z0"/>
    <w:qFormat/>
    <w:rPr/>
  </w:style>
  <w:style w:type="character" w:styleId="WW8Num51z0">
    <w:name w:val="WW8Num51z0"/>
    <w:qFormat/>
    <w:rPr/>
  </w:style>
  <w:style w:type="character" w:styleId="WW8Num52z0">
    <w:name w:val="WW8Num52z0"/>
    <w:qFormat/>
    <w:rPr/>
  </w:style>
  <w:style w:type="character" w:styleId="WW8Num52z1">
    <w:name w:val="WW8Num52z1"/>
    <w:qFormat/>
    <w:rPr>
      <w:rFonts w:ascii="Times New Roman" w:hAnsi="Times New Roman" w:cs="Times New Roman"/>
      <w:b w:val="false"/>
      <w:i w:val="false"/>
      <w:sz w:val="24"/>
      <w:u w:val="none"/>
    </w:rPr>
  </w:style>
  <w:style w:type="character" w:styleId="WW8Num52z2">
    <w:name w:val="WW8Num52z2"/>
    <w:qFormat/>
    <w:rPr>
      <w:rFonts w:ascii="Times New Roman" w:hAnsi="Times New Roman" w:cs="Times New Roman"/>
      <w:b w:val="false"/>
      <w:i w:val="false"/>
      <w:sz w:val="24"/>
    </w:rPr>
  </w:style>
  <w:style w:type="character" w:styleId="WW8Num52z5">
    <w:name w:val="WW8Num52z5"/>
    <w:qFormat/>
    <w:rPr>
      <w:rFonts w:ascii="Times New Roman" w:hAnsi="Times New Roman" w:cs="Times New Roman"/>
      <w:b/>
      <w:i w:val="false"/>
      <w:sz w:val="24"/>
      <w:u w:val="none"/>
    </w:rPr>
  </w:style>
  <w:style w:type="character" w:styleId="WW8Num53z0">
    <w:name w:val="WW8Num53z0"/>
    <w:qFormat/>
    <w:rPr/>
  </w:style>
  <w:style w:type="character" w:styleId="WW8Num54z0">
    <w:name w:val="WW8Num54z0"/>
    <w:qFormat/>
    <w:rPr>
      <w:rFonts w:ascii="Times New Roman" w:hAnsi="Times New Roman" w:cs="Times New Roman"/>
      <w:b/>
      <w:i w:val="false"/>
      <w:caps/>
      <w:sz w:val="24"/>
    </w:rPr>
  </w:style>
  <w:style w:type="character" w:styleId="WW8Num54z1">
    <w:name w:val="WW8Num54z1"/>
    <w:qFormat/>
    <w:rPr>
      <w:rFonts w:ascii="Times New Roman" w:hAnsi="Times New Roman" w:cs="Times New Roman"/>
      <w:b w:val="false"/>
      <w:i w:val="false"/>
      <w:sz w:val="24"/>
      <w:u w:val="none"/>
    </w:rPr>
  </w:style>
  <w:style w:type="character" w:styleId="WW8Num54z2">
    <w:name w:val="WW8Num54z2"/>
    <w:qFormat/>
    <w:rPr>
      <w:rFonts w:ascii="Times New Roman" w:hAnsi="Times New Roman" w:cs="Times New Roman"/>
      <w:b w:val="false"/>
      <w:i w:val="false"/>
      <w:sz w:val="24"/>
    </w:rPr>
  </w:style>
  <w:style w:type="character" w:styleId="WW8Num54z5">
    <w:name w:val="WW8Num54z5"/>
    <w:qFormat/>
    <w:rPr>
      <w:rFonts w:ascii="Times New Roman" w:hAnsi="Times New Roman" w:cs="Times New Roman"/>
      <w:b/>
      <w:i w:val="false"/>
      <w:sz w:val="24"/>
      <w:u w:val="none"/>
    </w:rPr>
  </w:style>
  <w:style w:type="character" w:styleId="WW8Num55z0">
    <w:name w:val="WW8Num55z0"/>
    <w:qFormat/>
    <w:rPr/>
  </w:style>
  <w:style w:type="character" w:styleId="WW8Num56z0">
    <w:name w:val="WW8Num56z0"/>
    <w:qFormat/>
    <w:rPr>
      <w:b w:val="false"/>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raNum">
    <w:name w:val="ParaNum"/>
    <w:basedOn w:val="DefaultParagraphFont"/>
    <w:qFormat/>
    <w:rPr>
      <w:b w:val="false"/>
      <w:i w:val="false"/>
      <w:vanish w:val="false"/>
      <w:u w:val="no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mallCap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sz w:val="22"/>
    </w:rPr>
  </w:style>
  <w:style w:type="paragraph" w:styleId="BodyText2">
    <w:name w:val="Body Text 2"/>
    <w:basedOn w:val="Normal"/>
    <w:qFormat/>
    <w:pPr>
      <w:tabs>
        <w:tab w:val="clear" w:pos="720"/>
        <w:tab w:val="right" w:pos="4320" w:leader="none"/>
      </w:tabs>
    </w:pPr>
    <w:rPr>
      <w:b/>
      <w:sz w:val="20"/>
    </w:rPr>
  </w:style>
  <w:style w:type="paragraph" w:styleId="coverbody">
    <w:name w:val="coverbody"/>
    <w:basedOn w:val="Normal"/>
    <w:qFormat/>
    <w:pPr>
      <w:spacing w:before="0" w:after="200"/>
      <w:jc w:val="both"/>
    </w:pPr>
    <w:rPr>
      <w:sz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PlainText">
    <w:name w:val="Plain Text"/>
    <w:basedOn w:val="Normal"/>
    <w:qFormat/>
    <w:pPr/>
    <w:rPr>
      <w:sz w:val="20"/>
    </w:rPr>
  </w:style>
  <w:style w:type="paragraph" w:styleId="BodyTextIndent2">
    <w:name w:val="Body Text Indent 2"/>
    <w:basedOn w:val="Normal"/>
    <w:qFormat/>
    <w:pPr>
      <w:tabs>
        <w:tab w:val="clear" w:pos="720"/>
        <w:tab w:val="left" w:pos="360" w:leader="none"/>
      </w:tabs>
      <w:spacing w:before="0" w:after="120"/>
      <w:ind w:hanging="0" w:start="360" w:end="0"/>
      <w:jc w:val="both"/>
    </w:pPr>
    <w:rPr>
      <w:sz w:val="20"/>
    </w:rPr>
  </w:style>
  <w:style w:type="paragraph" w:styleId="BodyTextIndent3">
    <w:name w:val="Body Text Indent 3"/>
    <w:basedOn w:val="Normal"/>
    <w:qFormat/>
    <w:pPr>
      <w:tabs>
        <w:tab w:val="clear" w:pos="720"/>
        <w:tab w:val="left" w:pos="360" w:leader="none"/>
      </w:tabs>
      <w:spacing w:before="0" w:after="120"/>
      <w:ind w:hanging="0" w:start="1440" w:end="0"/>
      <w:jc w:val="both"/>
    </w:pPr>
    <w:rPr>
      <w:sz w:val="20"/>
    </w:rPr>
  </w:style>
  <w:style w:type="paragraph" w:styleId="BodyTextFirstIndent">
    <w:name w:val="Body Text First Indent"/>
    <w:basedOn w:val="Normal"/>
    <w:qFormat/>
    <w:pPr>
      <w:spacing w:before="0" w:after="240"/>
      <w:ind w:firstLine="720" w:start="0" w:end="0"/>
      <w:jc w:val="both"/>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BlockTextBold">
    <w:name w:val="BlockTextBold"/>
    <w:basedOn w:val="Normal"/>
    <w:qFormat/>
    <w:pPr>
      <w:spacing w:before="0" w:after="240"/>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2001-01-12T20:18:00Z</dcterms:created>
  <dc:creator>Gaylen Barbour</dc:creator>
  <dc:description/>
  <dc:language>en-CA</dc:language>
  <cp:lastModifiedBy>David Wilcox</cp:lastModifiedBy>
  <cp:lastPrinted>2001-01-12T17:44:00Z</cp:lastPrinted>
  <dcterms:modified xsi:type="dcterms:W3CDTF">2001-01-12T20:18:00Z</dcterms:modified>
  <cp:revision>2</cp:revision>
  <dc:subject/>
  <dc:title>Points of Agreement:</dc:title>
</cp:coreProperties>
</file>