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sz w:val="32"/>
        </w:rPr>
      </w:pPr>
      <w:r>
        <w:rPr>
          <w:rFonts w:cs="Times New Roman" w:ascii="Times New Roman" w:hAnsi="Times New Roman"/>
          <w:b/>
          <w:sz w:val="32"/>
        </w:rPr>
        <w:t>DRAFT</w:t>
      </w:r>
    </w:p>
    <w:p>
      <w:pPr>
        <w:pStyle w:val="Heading3"/>
        <w:ind w:hanging="0" w:start="0"/>
        <w:rPr/>
      </w:pPr>
      <w:r>
        <w:rPr/>
        <w:t xml:space="preserve">Questions and Answers </w:t>
      </w:r>
    </w:p>
    <w:p>
      <w:pPr>
        <w:pStyle w:val="Normal"/>
        <w:jc w:val="center"/>
        <w:rPr>
          <w:rFonts w:ascii="Times New Roman" w:hAnsi="Times New Roman" w:cs="Times New Roman"/>
          <w:b/>
          <w:sz w:val="32"/>
        </w:rPr>
      </w:pPr>
      <w:r>
        <w:rPr>
          <w:rFonts w:cs="Times New Roman" w:ascii="Times New Roman" w:hAnsi="Times New Roman"/>
          <w:b/>
          <w:sz w:val="32"/>
        </w:rPr>
        <w:t>Regarding Climate Change</w:t>
      </w:r>
    </w:p>
    <w:p>
      <w:pPr>
        <w:pStyle w:val="Normal"/>
        <w:rPr>
          <w:rFonts w:ascii="Times New Roman" w:hAnsi="Times New Roman" w:cs="Times New Roman"/>
          <w:b/>
          <w:sz w:val="32"/>
        </w:rPr>
      </w:pPr>
      <w:r>
        <w:rPr>
          <w:rFonts w:cs="Times New Roman" w:ascii="Times New Roman" w:hAnsi="Times New Roman"/>
          <w:b/>
          <w:sz w:val="32"/>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1</w:t>
        <w:tab/>
        <w:t>What is Enron’s Position on the Science Behind the Climate Change Issue?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Question 2</w:t>
        <w:tab/>
        <w:t>Should There be a Control Program for Climate Change Mitigation?</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3</w:t>
        <w:tab/>
        <w:t>What is Enron’s Position on the Flexibility Mechanisms?</w:t>
      </w:r>
    </w:p>
    <w:p>
      <w:pPr>
        <w:pStyle w:val="Normal"/>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4</w:t>
        <w:tab/>
        <w:t>What is Enron’s View on the Question of Risks and Liability for Article 17 Emissions Trades?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5</w:t>
        <w:tab/>
        <w:t>What is Enron’s View on Early Crediting?</w:t>
      </w:r>
    </w:p>
    <w:p>
      <w:pPr>
        <w:pStyle w:val="Heading2"/>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6</w:t>
        <w:tab/>
        <w:t>Why Does Enron Think the Cost to Control Greenhouse Gases Will be Less Than Predicted by Some Models?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Question 7</w:t>
        <w:tab/>
        <w:t xml:space="preserve">What is the Relationship Between Electric Restructuring and </w:t>
      </w:r>
    </w:p>
    <w:p>
      <w:pPr>
        <w:pStyle w:val="Normal"/>
        <w:ind w:firstLine="720" w:start="720" w:end="0"/>
        <w:jc w:val="both"/>
        <w:rPr>
          <w:rFonts w:ascii="Times New Roman" w:hAnsi="Times New Roman" w:cs="Times New Roman"/>
          <w:b/>
        </w:rPr>
      </w:pPr>
      <w:r>
        <w:rPr>
          <w:rFonts w:cs="Times New Roman" w:ascii="Times New Roman" w:hAnsi="Times New Roman"/>
          <w:b/>
        </w:rPr>
        <w:t>Climate Change?</w:t>
      </w:r>
    </w:p>
    <w:p>
      <w:pPr>
        <w:pStyle w:val="Normal"/>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8</w:t>
        <w:tab/>
        <w:t>Should Developing Countries Be Included in a Climate Change Treaty?</w:t>
        <w:tab/>
      </w:r>
    </w:p>
    <w:p>
      <w:pPr>
        <w:pStyle w:val="Normal"/>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9</w:t>
        <w:tab/>
        <w:t>Can the Natural Gas Industry Meet the Incremental Demand That the Kyoto Protocol Would Stimulate?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Question 10</w:t>
        <w:tab/>
        <w:t>What is Enron’s Position on Greenhouse Gas Taxes?</w:t>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ascii="Times New Roman" w:hAnsi="Times New Roman"/>
          <w:b/>
          <w:sz w:val="32"/>
        </w:rPr>
        <w:t>DRAFT</w:t>
      </w:r>
    </w:p>
    <w:p>
      <w:pPr>
        <w:pStyle w:val="Heading3"/>
        <w:ind w:hanging="0" w:start="0"/>
        <w:rPr/>
      </w:pPr>
      <w:r>
        <w:rPr/>
        <w:t xml:space="preserve">Questions and Answers </w:t>
      </w:r>
    </w:p>
    <w:p>
      <w:pPr>
        <w:pStyle w:val="Normal"/>
        <w:jc w:val="center"/>
        <w:rPr>
          <w:rFonts w:ascii="Times New Roman" w:hAnsi="Times New Roman" w:cs="Times New Roman"/>
          <w:b/>
          <w:sz w:val="32"/>
        </w:rPr>
      </w:pPr>
      <w:r>
        <w:rPr>
          <w:rFonts w:cs="Times New Roman" w:ascii="Times New Roman" w:hAnsi="Times New Roman"/>
          <w:b/>
          <w:sz w:val="32"/>
        </w:rPr>
        <w:t>Regarding Climate Change</w:t>
      </w:r>
    </w:p>
    <w:p>
      <w:pPr>
        <w:pStyle w:val="Normal"/>
        <w:rPr>
          <w:rFonts w:ascii="Times New Roman" w:hAnsi="Times New Roman" w:cs="Times New Roman"/>
          <w:b/>
          <w:sz w:val="32"/>
        </w:rPr>
      </w:pPr>
      <w:r>
        <w:rPr>
          <w:rFonts w:cs="Times New Roman" w:ascii="Times New Roman" w:hAnsi="Times New Roman"/>
          <w:b/>
          <w:sz w:val="32"/>
        </w:rPr>
      </w:r>
    </w:p>
    <w:p>
      <w:pPr>
        <w:pStyle w:val="Normal"/>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1</w:t>
        <w:tab/>
        <w:t>What is Enron’s Position on the Science Behind the Climate Change Issue?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We do not challenge the conclusion of much of the scientific community that there may be some human-induced effects on the climate.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science behind climate change is complex.  Conclusions reached by international scientists are based on research by climatologists, meteorologists, chemists, physicists, geologists, biologists, simulation modellers, systems analysts, mathematicians, and economists.  It is difficult for any single specialist, let alone a knowledgeable lay person, to contradict the findings of hundreds of international experts who have spent years studying the intricate details of complex physical and economic systems.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We at Enron know the power and energy industry.  We know how to apply mathematics, economics, engineering, and finance to develop sensible energy solutions for the betterment of industry, consumers, and the environment.  If climate change is a threat, we will do our part to mitigate these risks.  We will note, however, that by aligning regulatory goals with the proper incentives and institutional arrangements -- competitive energy, power, and environmental markets -- the cost of achieving our greenhouse gas reductions goals will be less and industry can do it faster than many modellers predict.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Question 2</w:t>
        <w:tab/>
        <w:t>Should There be a Control Program for Climate Change Mitigation?</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 xml:space="preserve">There are at least two reasons why action might be taken to first slow down the growth in greenhouse gases and then reduce emissions levels: (1) the science is compelling or (2) the insurance value of starting a program is great.  Starting a regulatory program does not require blindly continuing a program if and when better science dictates either halting or focusing on further reductions in greenhouse gases.  Starting a regulatory program means setting into motion public and private-sector initiatives that capture the cheap reductions as soon as possible while validating the science.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If any new environmental program is required, there will be costs.  To enjoy the benefits of a world with acceptable levels of pollution means regulating in a cost-effective way.  That, in turn, means all measures should be taken to mitigate unnecessary regulatory costs.  In the case of mitigating greenhouse gas emissions, it has been shown that small initial steps to reduce growth in greenhouse gases will not cost a lot of money, but will put the world on the right path in the case that current scientific understanding is confirmed.  Even larger (“Kyoto-steps”) might be pursued with a comprehensive greenhouse gas-trading program in place and the cost can be held to less than 0.5% of projected GNP.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Starting such a market-based regulatory program will mean spending only a small fraction of that cost.  The insurance cost is the cost of establishing the program while scientists confirm the breadth and severity of climate change concerns.  While research on climate change is ongoing, implementation programs must be flexible enough to adjust to the possibility of the problem being either a mirage or more severe than contemplated.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3</w:t>
        <w:tab/>
        <w:t>What is Enron’s Position on the Flexibility Mechanisms (Kyoto Mechanisms)?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Enron supports the use of the flexibility mechanisms as effective and low cost instruments for reducing greenhouse gas control costs.  In fact, Enron has developed a potential clean development mechanism (CDM) project and in June 1999 submitted support documents to both the US and Guatemalan authorities.  This documentation supports granting greenhouse gas reductions under the future CDM program.  In addition, Enron plans on developing joint implementation (JI) projects in developed countries.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flexibility mechanisms, while conceptually similar, differ in several ways.  The project-based systems – joint implementation and the clean development mechanism – usually involve some kind of technology transfer, fuel switch, or investment.  These flexibility mechanisms are supported by virtually all NGOs, regulators, economists, and environmental interests.  These concepts have been proven by more than 20 years of experience within the United States and other countries.  So-called "assigned amount" trading, while in many ways simpler, is still contentious.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Because JI and the CDM can provide good environmental and economic benefits, Enron does not support a cap on the percentage of greenhouse gas reductions that companies or countries could buy or sell.  As long as the reductions are real, quantifiable, and certifiable under applicable international and domestic regulations, the reductions should be tradable and creditable.  Since the environment cannot tell the difference, reductions should be applicable wherever they are achieved.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With respect to other issues, Enron believes that greenhouse gas credits can only be applied once they have been achieved.  Reductions that violate Kyoto rules cannot become tradable credits or assigned amounts.  Strict accounting rules, serialization of credits and assigned amounts, transparency of transactions, and minimal interference in the marketplace are common-sense rules for greenhouse gas trading.</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4</w:t>
        <w:tab/>
        <w:t>What is Enron’s View on the Question of Risks and Liability for Article 17 Emissions Trades?</w:t>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 xml:space="preserve">The Kyoto Protocol on limiting greenhouse gases allows for the transfer of “assigned amounts” of greenhouse gases among developed countries.  The Protocol also allows for the trading of emission credits through two instruments, joint implementation (JI) and the clean development mechanism (CDM).  The latter two programs require that reductions must be first achieved, documented, and then certified.  Therefore with respect to buying or selling greenhouse gas emission credits that flow from a CDM project; there is no risk and no </w:t>
      </w:r>
      <w:r>
        <w:rPr>
          <w:rFonts w:cs="Times New Roman" w:ascii="Times New Roman" w:hAnsi="Times New Roman"/>
          <w:i/>
        </w:rPr>
        <w:t>ex post facto</w:t>
      </w:r>
      <w:r>
        <w:rPr>
          <w:rFonts w:cs="Times New Roman" w:ascii="Times New Roman" w:hAnsi="Times New Roman"/>
        </w:rPr>
        <w:t xml:space="preserve"> liability.  With respect to JI, there can be potential risks and liabilities.  Enron, however, believes that it is possible to put a legal fence around a JI project such that if the project meets its environmental goals, any </w:t>
      </w:r>
      <w:r>
        <w:rPr>
          <w:rFonts w:cs="Times New Roman" w:ascii="Times New Roman" w:hAnsi="Times New Roman"/>
          <w:i/>
        </w:rPr>
        <w:t xml:space="preserve">ex post facto </w:t>
      </w:r>
      <w:r>
        <w:rPr>
          <w:rFonts w:cs="Times New Roman" w:ascii="Times New Roman" w:hAnsi="Times New Roman"/>
        </w:rPr>
        <w:t>reductions carry forward no risks and no liabilities.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Trading assigned amounts, however, may not be as risk free as project-based trades might be.  If countries with greenhouse gas commitments emit less than their assigned amount, they will be able to sell some or all of these surplus “assigned amounts” or “bank” their surplus assigned amounts for use during the next time period.  Buyer companies or countries will be able to use these surplus assigned amounts to meet their own greenhouse gas limits.  Many questions arise if assigned amount trading allows </w:t>
      </w:r>
      <w:r>
        <w:rPr>
          <w:rFonts w:cs="Times New Roman" w:ascii="Times New Roman" w:hAnsi="Times New Roman"/>
          <w:u w:val="single"/>
        </w:rPr>
        <w:t>potentially</w:t>
      </w:r>
      <w:r>
        <w:rPr>
          <w:rFonts w:cs="Times New Roman" w:ascii="Times New Roman" w:hAnsi="Times New Roman"/>
        </w:rPr>
        <w:t xml:space="preserve"> surplus assigned amounts to be traded first and demonstrated to be surplus later:</w:t>
      </w:r>
    </w:p>
    <w:p>
      <w:pPr>
        <w:pStyle w:val="Normal"/>
        <w:rPr>
          <w:rFonts w:ascii="Times New Roman" w:hAnsi="Times New Roman" w:cs="Times New Roman"/>
        </w:rPr>
      </w:pPr>
      <w:r>
        <w:rPr>
          <w:rFonts w:cs="Times New Roman" w:ascii="Times New Roman" w:hAnsi="Times New Roman"/>
        </w:rPr>
      </w:r>
    </w:p>
    <w:p>
      <w:pPr>
        <w:pStyle w:val="Normal"/>
        <w:numPr>
          <w:ilvl w:val="0"/>
          <w:numId w:val="3"/>
        </w:numPr>
        <w:tabs>
          <w:tab w:val="left" w:pos="720" w:leader="none"/>
        </w:tabs>
        <w:ind w:hanging="360" w:start="720" w:end="0"/>
        <w:rPr>
          <w:rFonts w:ascii="Times New Roman" w:hAnsi="Times New Roman" w:cs="Times New Roman"/>
        </w:rPr>
      </w:pPr>
      <w:r>
        <w:rPr>
          <w:rFonts w:cs="Times New Roman" w:ascii="Times New Roman" w:hAnsi="Times New Roman"/>
        </w:rPr>
        <w:t>Which party is at risk if traded “assigned amounts” are not demonstrated to be surplus?</w:t>
      </w:r>
    </w:p>
    <w:p>
      <w:pPr>
        <w:pStyle w:val="Normal"/>
        <w:numPr>
          <w:ilvl w:val="0"/>
          <w:numId w:val="3"/>
        </w:numPr>
        <w:tabs>
          <w:tab w:val="left" w:pos="720" w:leader="none"/>
        </w:tabs>
        <w:ind w:hanging="360" w:start="720" w:end="0"/>
        <w:rPr>
          <w:rFonts w:ascii="Times New Roman" w:hAnsi="Times New Roman" w:cs="Times New Roman"/>
        </w:rPr>
      </w:pPr>
      <w:r>
        <w:rPr>
          <w:rFonts w:cs="Times New Roman" w:ascii="Times New Roman" w:hAnsi="Times New Roman"/>
        </w:rPr>
        <w:t xml:space="preserve">Against whom can the domestic regulator enforce compliance, the user of the reductions or seller?  </w:t>
      </w:r>
    </w:p>
    <w:p>
      <w:pPr>
        <w:pStyle w:val="Normal"/>
        <w:numPr>
          <w:ilvl w:val="0"/>
          <w:numId w:val="3"/>
        </w:numPr>
        <w:tabs>
          <w:tab w:val="left" w:pos="720" w:leader="none"/>
        </w:tabs>
        <w:ind w:hanging="360" w:start="720" w:end="0"/>
        <w:rPr>
          <w:rFonts w:ascii="Times New Roman" w:hAnsi="Times New Roman" w:cs="Times New Roman"/>
        </w:rPr>
      </w:pPr>
      <w:r>
        <w:rPr>
          <w:rFonts w:cs="Times New Roman" w:ascii="Times New Roman" w:hAnsi="Times New Roman"/>
        </w:rPr>
        <w:t xml:space="preserve">Against whom can citizens act?  </w:t>
      </w:r>
    </w:p>
    <w:p>
      <w:pPr>
        <w:pStyle w:val="Normal"/>
        <w:numPr>
          <w:ilvl w:val="0"/>
          <w:numId w:val="2"/>
        </w:numPr>
        <w:tabs>
          <w:tab w:val="left" w:pos="720" w:leader="none"/>
        </w:tabs>
        <w:ind w:hanging="360" w:start="720" w:end="0"/>
        <w:rPr>
          <w:rFonts w:ascii="Times New Roman" w:hAnsi="Times New Roman" w:cs="Times New Roman"/>
        </w:rPr>
      </w:pPr>
      <w:r>
        <w:rPr>
          <w:rFonts w:cs="Times New Roman" w:ascii="Times New Roman" w:hAnsi="Times New Roman"/>
        </w:rPr>
        <w:t xml:space="preserve">What kind of liability rules promotes the greatest commercial integrity?  </w:t>
      </w:r>
    </w:p>
    <w:p>
      <w:pPr>
        <w:pStyle w:val="Normal"/>
        <w:numPr>
          <w:ilvl w:val="0"/>
          <w:numId w:val="2"/>
        </w:numPr>
        <w:tabs>
          <w:tab w:val="left" w:pos="720" w:leader="none"/>
        </w:tabs>
        <w:ind w:hanging="360" w:start="720" w:end="0"/>
        <w:rPr>
          <w:rFonts w:ascii="Times New Roman" w:hAnsi="Times New Roman" w:cs="Times New Roman"/>
        </w:rPr>
      </w:pPr>
      <w:r>
        <w:rPr>
          <w:rFonts w:cs="Times New Roman" w:ascii="Times New Roman" w:hAnsi="Times New Roman"/>
        </w:rPr>
        <w:t xml:space="preserve">What kind of liability rules yields the most environmental integrity?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It is obvious that domestic regulators cannot enforce against a foreign company or country.  It is also obvious that potential assigned amount buyers (users) are in a better position to impose strict financial terms and conditions on potential sellers than would be domestic buyer-country regulators.  And it is obvious that buyer-risk (the same as user-liability) systems insure higher integrity transactions than do seller-risk systems since sellers will need to differentiate their products on a quality dimension (for example, legal and commercial integrity.)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 foundation for such a system is ubiquitous.  One example is the market for sovereign debt.  Clearly it is the buyer of sovereign debt who takes the risk associated with non-payment.  That risk is reflected in the higher interest payment that questionable sovereign debt faces in the marketplace.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Assigned amounts are like sovereign debt in that countries that sell assigned amounts have taken on certain obligations.  A failure to perform moots the integrity of that promise whether the promise is in the form of a financial debt or a commitment to meet certain emission targets.  “Kyoto” commitments are promises made to meet certain emission targets, monitor emissions, report emission data, and to install and operate certain domestic regulatory systems.  A failure to perform affects the value of an obligation and the obligation buyer normally shoulders this risk.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Such a “buyer-focused” system provides a collateral benefit in that countries will have an incentive to develop good regulatory systems, sooner instead of later, to assure potential buyers that their purchases will be risk-free.</w:t>
      </w:r>
    </w:p>
    <w:p>
      <w:pPr>
        <w:pStyle w:val="Normal"/>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5</w:t>
        <w:tab/>
        <w:t>What is Enron’s View on Early Crediting?</w:t>
      </w:r>
    </w:p>
    <w:p>
      <w:pPr>
        <w:pStyle w:val="Heading2"/>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Extra environmental benefits occur when companies reduce emissions before regulations take place.  While the costs and benefits derived from some early actions might be small, if poorly designed, a regulatory program can penalize early reductions and retard innovation.  For example, it is possible to imagine a company that has been a good environmental actor, yet because of its current low emissions it gets a lower emissions baseline than companies that have done less.  The company’s good environmental citizenry can expose it to more stringent reduction targets, which translates into higher costs.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Crediting” can have at least two meanings:  (1) granting recognition and (2) granting an asset that potentially can offset a liability.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use of “crediting” to imply recognition is a limited, and easily agreed upon action.  “Good deeds should receive credit” is another way of saying “good deeds should be recognized.”  The question is “what constitutes proper recognition?”  Is proper recognition an accolade, public praise, a tax credit that offsets a tax liability, preferential treatment for air pollution permitting, preferential treatment for financial grants, or money?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Crediting that implies giving an emission credit that can be used to offset a future emissions control obligation is a much more ambitious and complicated action.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Rewarding early action can take many forms.  It can mean not penalizing good deed doing.  It can mean establishing fair emission baselines.  It can mean creating systems that reward some companies for what they must do anyway while compensating for this transfer by over-controlling the emissions of others.  It can mean creating extra actions to reduce emissions and stimulate clean energy technologies.  It can also mean jump-starting the market for international flexibility mechanisms (joint implementation or clean development mechanism transactions).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believes that programs should be developed that do not penalize good deeds  -- programs that allow for emissions baseline protection.  In addition, if possible, programs should be developed that recognize greenhouse gas credits where credits are real, surplus, quantifiable, and certifiable under international or domestic law.  Such a program should have clear environmental or economic benefits.</w:t>
      </w:r>
    </w:p>
    <w:p>
      <w:pPr>
        <w:pStyle w:val="Normal"/>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b/>
        </w:rPr>
      </w:pPr>
      <w:r>
        <w:rPr>
          <w:rFonts w:cs="Times New Roman" w:ascii="Times New Roman" w:hAnsi="Times New Roman"/>
          <w:b/>
        </w:rPr>
      </w:r>
    </w:p>
    <w:p>
      <w:pPr>
        <w:pStyle w:val="Normal"/>
        <w:ind w:hanging="1440" w:start="1440" w:end="0"/>
        <w:jc w:val="both"/>
        <w:rPr>
          <w:rFonts w:ascii="Times New Roman" w:hAnsi="Times New Roman" w:cs="Times New Roman"/>
          <w:b/>
        </w:rPr>
      </w:pPr>
      <w:r>
        <w:rPr>
          <w:rFonts w:cs="Times New Roman" w:ascii="Times New Roman" w:hAnsi="Times New Roman"/>
          <w:b/>
        </w:rPr>
        <w:t>Question 6</w:t>
        <w:tab/>
        <w:t>Why Does Enron Think the Cost to Control Greenhouse Gases Will be Less Than Predicted by Some Models?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Enron supports the use of the Kyoto mechanisms – joint implementation, the clean development mechanism, and emissions trading.  We worked hard to advocate their use before Kyoto and continue to advocate their use today.  We believe these instruments hold the key to low cost greenhouse gas reductions.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Before the US EPA developed regulations dealing with acid deposition, power companies, industry experts and consultants predicted that the cost of SOx control would be very high.  In reality, the cost of control has been ½ -1/6 of the predicted cost.  These lower costs were achieved for a variety of reasons.  One reason for this low cost is that Congress mandated a market-based solution for solving the acid deposition control problem instead of employing traditional command-and-control approaches.  The market-based system developed to address acid deposition is very much like the Kyoto mechanisms.</w:t>
      </w:r>
    </w:p>
    <w:p>
      <w:pPr>
        <w:pStyle w:val="Normal"/>
        <w:jc w:val="both"/>
        <w:rPr>
          <w:rFonts w:ascii="Times New Roman" w:hAnsi="Times New Roman" w:cs="Times New Roman"/>
        </w:rPr>
      </w:pPr>
      <w:r>
        <w:rPr>
          <w:rFonts w:cs="Times New Roman" w:ascii="Times New Roman" w:hAnsi="Times New Roman"/>
        </w:rPr>
      </w:r>
    </w:p>
    <w:p>
      <w:pPr>
        <w:pStyle w:val="BodyText"/>
        <w:rPr/>
      </w:pPr>
      <w:r>
        <w:rPr/>
        <w:t>A second reason for the low costs under the US SO2 program is that industry is dynamic and responds to market signals.  There are economic efficiencies within all sectors of the economy that no computer modeller could ever imagine nor could possibly simulate.  Technologies and practices exist which could cost-effectively reduce greenhouse gas emissions if there were a clear incentive to do so.  The early implementation of even small programs to recognize and encourage these actions would bring these technologies to the market and give a sign to technology developers and R&amp;D entities to pursue new ways of meeting greenhouse gas reduction goals.  Through expanded use of natural gas instead of coal or peat, greater deployment of solar power, wind power and fuel cells, and the reduction of demand through energy efficiency, cheap greenhouse gas reductions can be created.</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Whether it is the so-called joint implementation approach to developing greenhouse gas reducing projects in developing and transitional economies or the concept of greenhouse gas emissions trading, history has proven that market-based environmental solutions produce results at a small fraction of projected costs.  In fact, studies by public and private sector economists illustrate that greenhouse gas control costs can be reduced by more than 70% when international greenhouse gas trading is employed.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Question 7</w:t>
        <w:tab/>
        <w:t xml:space="preserve">What is the Relationship Between Electric Restructuring and </w:t>
      </w:r>
    </w:p>
    <w:p>
      <w:pPr>
        <w:pStyle w:val="Normal"/>
        <w:ind w:firstLine="720" w:start="720" w:end="0"/>
        <w:jc w:val="both"/>
        <w:rPr>
          <w:rFonts w:ascii="Times New Roman" w:hAnsi="Times New Roman" w:cs="Times New Roman"/>
          <w:b/>
        </w:rPr>
      </w:pPr>
      <w:r>
        <w:rPr>
          <w:rFonts w:cs="Times New Roman" w:ascii="Times New Roman" w:hAnsi="Times New Roman"/>
          <w:b/>
        </w:rPr>
        <w:t>Climate Change?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Responding to the climate change problem will cost money and much of this cost will be related to energy production and delivery.  The only way to achieve the lowest cost for electricity is by unleashing the power of the marketplace.  That is why we endorse using the Kyoto mechanisms.  This is also why we believe that only by moving aggressively on electricity restructuring can we create the right energy and environmental institutions that support the delivery of low cost electricity.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Electric restructuring will reduce the cost of electricity and electricity services through increased efficiency and competitiveness.  Moreover, the opening of energy markets to competition is expected to increase efficiency and promote new, more efficient technology not just in the traditional power generation industry, but throughout the energy economy, down to the end-user level.  For example, ESCOs and other new energy marketing entities have the right incentives to find the most cost-effective means of providing energy services to all sectors.  Restructuring is expected to provide traditional energy services more efficiently and at lower cost, as well as promote the development of new services which are also efficient.  Restructuring will thus directly help meet climate change goals and offset some of the costs that will be necessary to meet greenhouse gas control goals.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To achieve these desirable outcomes, we should fast-track electricity restructuring.  In fact, rate relief and efficiency provided by restructuring are prerequisites for aggressive action to mitigate greenhouse gas emissions.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b/>
        </w:rPr>
      </w:pPr>
      <w:r>
        <w:rPr>
          <w:rFonts w:cs="Times New Roman" w:ascii="Times New Roman" w:hAnsi="Times New Roman"/>
          <w:b/>
        </w:rPr>
        <w:t>Question 8</w:t>
        <w:tab/>
        <w:t>Should Developing Countries Be Included in a Climate Change Treaty?</w:t>
        <w:tab/>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Yes.  Developing countries must do their part to combat this global problem, but what is their part?  It must be recognized that the developing world has contributed relatively little to this problem and that, at this time, the developing world has little capacity to contribute very much to the solution.  However, this fact does not mean that no non-Annex-1 country should ever take on greater commitments than defined in the Kyoto Protocol.  Nor does this mean that the developing world can be immunized against having any responsibilities for the control of greenhouse gases.  The questions are not “if” there are developing-world responsibilities, but rather “what” should be their responsibilities and “when” should these responsibilities apply.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The issue of “developing country commitments” is complex.  Many people in the developing world have accused the West of paying mere lip-service to fulfilling its responsibilities.  Some developing country leaders observe that while failing to meet the West’s greenhouse gas control commitments, some Western countries are trying to place commitments on the economically weaker developing world.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Some have argued that the developing world will probably start to take on commitments only after they see the Western countries fulfil their own.  Supporters of this hypothesis believe that the West must set an example in order to expect commitments from the developing world.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While the contribution of developing countries to reduce greenhouse gas emissions is small today, they are the greatest source of future growth.  In some future budget period, it is reasonable to expect some of the non-Annex-1 countries to take on greater commitments.  The sooner they become part of the climate change mitigation solution, the less all countries will need to face in future reduction requirements.  To the extent that additional commitments will be adopted by the developing countries, these commitments must be simple to implement and cost-effective.  The broadest use of the CDM provides a good platform for knowledge building and participation by developing countries in the Kyoto Protocol.  Thus Enron supports early action on developing the CDM.  This is one way to get developing country participation, sooner, instead of later.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b/>
        </w:rPr>
      </w:pPr>
      <w:r>
        <w:rPr>
          <w:rFonts w:cs="Times New Roman" w:ascii="Times New Roman" w:hAnsi="Times New Roman"/>
          <w:b/>
        </w:rPr>
        <w:t>Question 9</w:t>
        <w:tab/>
        <w:t>Can the Natural Gas Industry Meet the Incremental Demand That the Kyoto Protocol Would Stimulate?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 xml:space="preserve">Yes.  The natural gas industry has met every challenge to come its way including restructuring, cold winters, and severe competition.  There are substantial supplies of natural gas and each day witnesses increased capacity to deliver.  That said, we would never advocate that the US economy should be fully dependent on natural gas.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Climate change goals will be met through a combination of new technology, smarter business practices, renewable energy technology and more efficient use of a mix of fossil fuels.  We await the government’s analysis of what future demand there might be for natural gas, if and when, a greenhouse gas control regime is adopted.  We are confident, however, that there are sufficient supplies of natural gas to meet much more demand including the demand driven by a rational climate change policy.</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Question 10</w:t>
        <w:tab/>
        <w:t>What is Enron’s Position on Greenhouse Gas Taxes?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 xml:space="preserve">In general, Enron opposes the use of greenhouse gas taxes.  There are many problems associated with the use of taxes as a policy instrument and their absence from the standard tool-chest of policy instruments used within the United States suggests that this instrument is not likely to be feasible in the US.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Domestic regulatory regimes, in general, achieve better outcomes when based on trading-like solutions such as those articulated in the Kyoto mechanisms.</w:t>
      </w:r>
    </w:p>
    <w:sectPr>
      <w:footerReference w:type="default" r:id="rId2"/>
      <w:type w:val="nextPage"/>
      <w:pgSz w:w="12240" w:h="15840"/>
      <w:pgMar w:left="1800" w:right="1800"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Times New Roman" w:cs="CG Times (W1);Times New Roman"/>
      <w:color w:val="auto"/>
      <w:sz w:val="24"/>
      <w:szCs w:val="20"/>
      <w:lang w:val="en-GB" w:eastAsia="zh-CN" w:bidi="hi-IN"/>
    </w:rPr>
  </w:style>
  <w:style w:type="paragraph" w:styleId="Heading1">
    <w:name w:val="heading 1"/>
    <w:basedOn w:val="Normal"/>
    <w:next w:val="Normal"/>
    <w:qFormat/>
    <w:pPr>
      <w:keepNext w:val="true"/>
      <w:numPr>
        <w:ilvl w:val="0"/>
        <w:numId w:val="1"/>
      </w:numPr>
      <w:ind w:hanging="1440" w:start="1440" w:end="0"/>
      <w:jc w:val="center"/>
      <w:outlineLvl w:val="0"/>
    </w:pPr>
    <w:rPr>
      <w:b/>
      <w:u w:val="single"/>
    </w:rPr>
  </w:style>
  <w:style w:type="paragraph" w:styleId="Heading2">
    <w:name w:val="heading 2"/>
    <w:basedOn w:val="Normal"/>
    <w:next w:val="Normal"/>
    <w:qFormat/>
    <w:pPr>
      <w:keepNext w:val="true"/>
      <w:numPr>
        <w:ilvl w:val="1"/>
        <w:numId w:val="1"/>
      </w:numPr>
      <w:ind w:hanging="1440" w:start="1440" w:end="0"/>
      <w:jc w:val="center"/>
      <w:outlineLvl w:val="1"/>
    </w:pPr>
    <w:rPr>
      <w:i/>
      <w:u w:val="single"/>
    </w:rPr>
  </w:style>
  <w:style w:type="paragraph" w:styleId="Heading3">
    <w:name w:val="heading 3"/>
    <w:basedOn w:val="Normal"/>
    <w:next w:val="Normal"/>
    <w:qFormat/>
    <w:pPr>
      <w:keepNext w:val="true"/>
      <w:numPr>
        <w:ilvl w:val="2"/>
        <w:numId w:val="1"/>
      </w:numPr>
      <w:jc w:val="center"/>
      <w:outlineLvl w:val="2"/>
    </w:pPr>
    <w:rPr>
      <w:rFonts w:ascii="Times New Roman" w:hAnsi="Times New Roman" w:cs="Times New Roman"/>
      <w:b/>
      <w:sz w:val="3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1999-07-04T11:05:00Z</dcterms:created>
  <dc:creator>Enron Europe Limited</dc:creator>
  <dc:description/>
  <dc:language>en-CA</dc:language>
  <cp:lastModifiedBy>John S Palmisano</cp:lastModifiedBy>
  <cp:lastPrinted>1999-08-05T12:56:00Z</cp:lastPrinted>
  <dcterms:modified xsi:type="dcterms:W3CDTF">2000-02-10T12:26:00Z</dcterms:modified>
  <cp:revision>33</cp:revision>
  <dc:subject/>
  <dc:title>Questions and Answers for Ken Lay Regarding Climate Change</dc:title>
</cp:coreProperties>
</file>