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An affiliate of Enron Corp. (“Enron”) has developed and owns and operates EnronOnline LLC</w:t>
            </w:r>
            <w:r>
              <w:rPr>
                <w:i/>
              </w:rPr>
              <w:t>™</w:t>
            </w:r>
            <w:r>
              <w:rPr/>
              <w:t xml:space="preserve"> (“EOL”), an electronic trading platform. DealBench L.L.C., a Delaware limited liability company (“DealBench”) an affiliate of Enron, has developed, owns and operates </w:t>
            </w:r>
            <w:r>
              <w:rPr>
                <w:i/>
              </w:rPr>
              <w:t xml:space="preserve">DealBench™, </w:t>
            </w:r>
            <w:r>
              <w:rPr/>
              <w:t>a proprietary Worldwide Web-based electronic commerce platform facilitating collaboration on transactions. Envera LLC, a Virginia limited liability company (the “Envera”), has developed a Worldwide Web-based global business-to-business network, especially for the petroleum and chemical industries.  In the proposed transaction, Enron and Envera will undertake, in accordance with the terms and conditions set forth in this Term Sheet and in the Letter of Interest to which this Term Sheet is attached, the following:</w:t>
            </w:r>
          </w:p>
          <w:p>
            <w:pPr>
              <w:pStyle w:val="BodyText2"/>
              <w:rPr/>
            </w:pPr>
            <w:r>
              <w:rPr/>
            </w:r>
          </w:p>
          <w:p>
            <w:pPr>
              <w:pStyle w:val="Normal"/>
              <w:numPr>
                <w:ilvl w:val="0"/>
                <w:numId w:val="4"/>
              </w:numPr>
              <w:jc w:val="both"/>
              <w:rPr>
                <w:sz w:val="22"/>
              </w:rPr>
            </w:pPr>
            <w:r>
              <w:rPr>
                <w:sz w:val="22"/>
              </w:rPr>
              <w:t xml:space="preserve">Conclusion of an agreement (the “EOL Linking Agreement” described below) pursuant to which Enron would agree to permit Envera to link its site to the home page of EOL </w:t>
            </w:r>
            <w:r>
              <w:rPr>
                <w:iCs/>
                <w:sz w:val="22"/>
              </w:rPr>
              <w:t>p</w:t>
            </w:r>
            <w:r>
              <w:rPr>
                <w:color w:val="000000"/>
                <w:sz w:val="22"/>
              </w:rPr>
              <w:t>ursuant to a mutually acceptable written agreement between Envera and EOL which would provide for certain terms and conditions, as generally discussed in the Linking Agreement section below;</w:t>
            </w:r>
          </w:p>
          <w:p>
            <w:pPr>
              <w:pStyle w:val="Normal"/>
              <w:numPr>
                <w:ilvl w:val="0"/>
                <w:numId w:val="4"/>
              </w:numPr>
              <w:jc w:val="both"/>
              <w:rPr>
                <w:sz w:val="22"/>
              </w:rPr>
            </w:pPr>
            <w:r>
              <w:rPr>
                <w:sz w:val="22"/>
              </w:rPr>
              <w:t>The making of trades, on a sleeving basis, in some petrochemicals and plastics (subject to EOL’s requirements and at Enron’s sole discretion including in relation to other Enron trading platforms) may be provided free of charge for Envera members, at the request of such members.  Each Envera member would be permitted up to 100 such transactions during the first 12 months of the Agreement.  (Enron will estimate the savings to Envera members for the services provided pursuant to this provision);</w:t>
            </w:r>
          </w:p>
          <w:p>
            <w:pPr>
              <w:pStyle w:val="BodyTextIndent"/>
              <w:numPr>
                <w:ilvl w:val="0"/>
                <w:numId w:val="4"/>
              </w:numPr>
              <w:rPr/>
            </w:pPr>
            <w:r>
              <w:rPr/>
              <w:t xml:space="preserve">For a period of 90 days after the date of the Site License Agreement between DealBench and  an Envera member covering the first Auction  (as defined below),  DealBench would permit each member of Envera to conduct up to two product auctions on </w:t>
            </w:r>
            <w:r>
              <w:rPr>
                <w:i/>
              </w:rPr>
              <w:t xml:space="preserve">DealBench™ </w:t>
            </w:r>
            <w:r>
              <w:rPr/>
              <w:t>at no charge (except for any third-party expenses incurred by DealBench at a Envera member’s request), subject to (i)  the execution and delivery by each Envera member who elects to conduct such auctions of a standard DealBench Site License Agreement, and (ii) a maximum of 25 such auctions for all Envera members (each such no-charge auction, an “Auction”);</w:t>
            </w:r>
          </w:p>
          <w:p>
            <w:pPr>
              <w:pStyle w:val="BodyTextIndent"/>
              <w:numPr>
                <w:ilvl w:val="0"/>
                <w:numId w:val="4"/>
              </w:numPr>
              <w:rPr/>
            </w:pPr>
            <w:r>
              <w:rPr/>
              <w:t xml:space="preserve">After Envera members have paid DealBench an aggregate amount of non-discounted site license fees to be determined by DealBench, DealBench would offer Envera’s members a preferred pricing arrangement pursuant to which they could use </w:t>
            </w:r>
            <w:r>
              <w:rPr>
                <w:i/>
              </w:rPr>
              <w:t>DealBench™</w:t>
            </w:r>
            <w:r>
              <w:rPr>
                <w:iCs/>
              </w:rPr>
              <w:t xml:space="preserve"> for a specified period of time to conduct a certain number of transactions at a discounted site license fee(s) (with the type, number and pricing of, and time period during which such transactions could be conducted to be determined by DealBench in its sole discretion), subject to  the execution and delivery by each Envera member who elects to participate in the preferred pricing arrangement of a standard DealBench Site License Agreement for the subject transaction(s); </w:t>
            </w:r>
          </w:p>
          <w:p>
            <w:pPr>
              <w:pStyle w:val="BodyTextIndent"/>
              <w:numPr>
                <w:ilvl w:val="0"/>
                <w:numId w:val="4"/>
              </w:numPr>
              <w:rPr/>
            </w:pPr>
            <w:r>
              <w:rPr/>
              <w:t xml:space="preserve">Conclusion of a mutually acceptable agreement (the “DealBench Linking Agreement” described below) between Envera and DealBench pursuant to which DealBench would agree to permit Envera to link its web site referred to above to the log-in page of </w:t>
            </w:r>
            <w:r>
              <w:rPr>
                <w:i/>
              </w:rPr>
              <w:t>DealBench™</w:t>
            </w:r>
            <w:r>
              <w:rPr>
                <w:iCs/>
              </w:rPr>
              <w:t xml:space="preserve">, and the parties thereto would agree to certain other </w:t>
            </w:r>
            <w:r>
              <w:rPr/>
              <w:t>terms and conditions outlined below;</w:t>
            </w:r>
          </w:p>
          <w:p>
            <w:pPr>
              <w:pStyle w:val="BodyTextIndent"/>
              <w:numPr>
                <w:ilvl w:val="0"/>
                <w:numId w:val="4"/>
              </w:numPr>
              <w:rPr/>
            </w:pPr>
            <w:r>
              <w:rPr/>
              <w:t>Subject to  registration by Company members on EOL in accordance with EOL policies and practices, Envera members may gain access to various industry specific content displayed on EOL from time to time, some of which is delivered in real-time (but EOL will have no obligation to provide any particular content);</w:t>
            </w:r>
          </w:p>
          <w:p>
            <w:pPr>
              <w:pStyle w:val="BodyTextIndent"/>
              <w:numPr>
                <w:ilvl w:val="0"/>
                <w:numId w:val="4"/>
              </w:numPr>
              <w:rPr/>
            </w:pPr>
            <w:r>
              <w:rPr/>
              <w:t xml:space="preserve">Access to Enron’s utility outsourcing services and products for Envera members on terms and conditions to be negotiated with respect to each particular transaction, with no obligation on any party’s part to provide or acquire any such products of services.  (Enron will estimate the savings to Envera members for the services provided pursuant to this provision); </w:t>
            </w:r>
          </w:p>
          <w:p>
            <w:pPr>
              <w:pStyle w:val="BodyTextIndent2"/>
              <w:numPr>
                <w:ilvl w:val="0"/>
                <w:numId w:val="4"/>
              </w:numPr>
              <w:rPr/>
            </w:pPr>
            <w:r>
              <w:rPr/>
              <w:t>The provision of two seminars, for approximately 30 Envera members each, on core areas of Enron expertise (which may or may not include Price Risk Management, On-Line Trading, Risk Assessment and Value at Risk) (the content to be subject to Enron’s approval in its sole discretion, and in any event, none of which content shall be required to disclose any of Enron’s proprietary information); and</w:t>
            </w:r>
          </w:p>
          <w:p>
            <w:pPr>
              <w:pStyle w:val="BodyTextIndent2"/>
              <w:numPr>
                <w:ilvl w:val="0"/>
                <w:numId w:val="4"/>
              </w:numPr>
              <w:rPr/>
            </w:pPr>
            <w:r>
              <w:rPr/>
              <w:t>Conduct joint marketing and media relations activities, on a purely discretionary basis, in all cases with the mutual agreement of both Envera and Enron, where Enron and Envera would take part in trade shows, advertising, hold strategy meetings between Enron and Envera, hold meetings with Envera and EOL members, jointly visit potential customers, and share market information (none of which shall be Enron’s proprietary information or subject to confidentiality restrictions), as well as encourage the use of both the Envera and Enron trading platforms.  Envera will be the “preferred third party transaction settlement engine” for certain Enron transactions (excluding DealBench transactions) .  With respect to the aforementioned transactions, Envera will have preferred third party rights to handle XML translation and document transport for a period of six (6) months from Closing.</w:t>
            </w:r>
          </w:p>
          <w:p>
            <w:pPr>
              <w:pStyle w:val="BodyTextIndent2"/>
              <w:rPr/>
            </w:pPr>
            <w:r>
              <w:rPr/>
            </w:r>
          </w:p>
          <w:p>
            <w:pPr>
              <w:pStyle w:val="Normal"/>
              <w:jc w:val="both"/>
              <w:rPr>
                <w:b/>
                <w:bCs/>
                <w:sz w:val="22"/>
              </w:rPr>
            </w:pPr>
            <w:r>
              <w:rPr/>
              <w:t xml:space="preserve">in exchange for a US$5,000,000 equity interest in Envera, with such valuation of the equity to be satisfactory to Enron.  </w:t>
            </w:r>
            <w:r>
              <w:rPr>
                <w:sz w:val="22"/>
              </w:rPr>
              <w:t xml:space="preserve">  </w:t>
            </w:r>
          </w:p>
          <w:p>
            <w:pPr>
              <w:pStyle w:val="Normal"/>
              <w:jc w:val="both"/>
              <w:rPr>
                <w:b/>
                <w:bCs/>
                <w:sz w:val="22"/>
              </w:rPr>
            </w:pPr>
            <w:r>
              <w:rPr>
                <w:b/>
                <w:bCs/>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That number of Envera’s membership units that is equal to a </w:t>
            </w:r>
            <w:r>
              <w:rPr/>
              <w:t>US$5,000,000 equity interest in Envera, with such valuation of the equity to be satisfactory to Enron.</w:t>
            </w:r>
            <w:r>
              <w:rPr>
                <w:sz w:val="22"/>
              </w:rPr>
              <w:t xml:space="preserve"> (computed on a fully diluted basis) of Envera’s membership units (which represent the common equity in Envera).  Enron shall have rights of first offer with respect to sales of Envera’s membership interests by other Envera members as discussed below in  “Rights of First Offer.”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Enron’s acquisition of its membership interest in Envera will include a Subscription Agreement, Envera’s Operating Agreement (amended and restated in accordance with the terms and conditions therein), and the Linking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Upon satisfaction of all of the conditions to closing set forth below, but in no event later than thirty days from the date of Envera’s execution of the letter of interest to which this Term Sheet is attached.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EOL Linking Agreement:</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DealBench Linking Agreement:</w:t>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At the closing of the Transaction, Envera and Enron will enter into an “EOL Linking Agreement” pursuant to which Enron will permit linking from the Envera site to the home page of EOL in accordance with Enron’s specifications and technical requirements, (cost issues to be discussed), which are to be set forth in the EOL Linking Agreement, which shall contain among other provisions, the following; </w:t>
            </w:r>
            <w:r>
              <w:rPr>
                <w:color w:val="000000"/>
              </w:rPr>
              <w:t>(i) pre-approval by  the parties of all matters related to such linking, any references to a party on  the other party’s web site, and any  communications or materials not prepared by  a party concerning or referring to  the other party</w:t>
            </w:r>
            <w:r>
              <w:rPr>
                <w:iCs/>
              </w:rPr>
              <w:t xml:space="preserve"> (ii) an option in favor of  each party to decline to proceed with such linking if legal or regulatory requirements prohibit it or would be, in EOL’s sole discretion, burdensome to comply with, and (iii) an option in favor of EOL to terminate such linking at any time for any reason or no reason</w:t>
            </w:r>
            <w:r>
              <w:rPr/>
              <w:t>.  As used in this section, “parties” or “party” means Envera and EOL.</w:t>
            </w:r>
          </w:p>
          <w:p>
            <w:pPr>
              <w:pStyle w:val="BodyText2"/>
              <w:rPr/>
            </w:pPr>
            <w:r>
              <w:rPr/>
            </w:r>
          </w:p>
          <w:p>
            <w:pPr>
              <w:pStyle w:val="Normal"/>
              <w:jc w:val="both"/>
              <w:rPr/>
            </w:pPr>
            <w:r>
              <w:rPr/>
              <w:t xml:space="preserve">Enron shall not be required to act in a manner that is inconsistent with or contrary to its business methods, practices or policies employed on EOL.  Without limiting the foregoing, Enron may in its sole discretion suspend the use of the link under certain circumstances, a breach of the EOL Linking Agreement, as well as circumstances under which the EOL Linking Agreement may be terminated.  Such issues are to be negotiated.    In any event, however, a breaching party will not be obligated to reimburse a non-breaching party for indirect, consequential, special, or punitive damages incurred by the non-breaching party in connection with providing the interfaces contemplated by the EOL Linking Agreement.  </w:t>
            </w:r>
          </w:p>
          <w:p>
            <w:pPr>
              <w:pStyle w:val="Normal"/>
              <w:jc w:val="both"/>
              <w:rPr/>
            </w:pPr>
            <w:r>
              <w:rPr/>
            </w:r>
          </w:p>
          <w:p>
            <w:pPr>
              <w:pStyle w:val="Normal"/>
              <w:jc w:val="both"/>
              <w:rPr/>
            </w:pPr>
            <w:r>
              <w:rPr>
                <w:sz w:val="22"/>
              </w:rPr>
              <w:t xml:space="preserve">At the Closing, </w:t>
            </w:r>
            <w:r>
              <w:rPr>
                <w:color w:val="000000"/>
                <w:sz w:val="22"/>
              </w:rPr>
              <w:t xml:space="preserve">DealBench and Envera would enter into a mutually acceptable “DealBench Linking Agreement” pursuant to which DealBench and Envera </w:t>
            </w:r>
            <w:r>
              <w:rPr>
                <w:sz w:val="22"/>
              </w:rPr>
              <w:t xml:space="preserve">would agree to the terms and conditions upon which Envera could link its web site referred to above to the log-in page of </w:t>
            </w:r>
            <w:r>
              <w:rPr>
                <w:i/>
                <w:sz w:val="22"/>
              </w:rPr>
              <w:t>DealBench™</w:t>
            </w:r>
            <w:r>
              <w:rPr>
                <w:sz w:val="22"/>
              </w:rPr>
              <w:t xml:space="preserve">, including, without limitation, (i) </w:t>
            </w:r>
            <w:r>
              <w:rPr>
                <w:color w:val="000000"/>
                <w:sz w:val="22"/>
              </w:rPr>
              <w:t xml:space="preserve">pre-approval by DealBench of all matters related to such linking, any references to DealBench or </w:t>
            </w:r>
            <w:r>
              <w:rPr>
                <w:i/>
              </w:rPr>
              <w:t xml:space="preserve">DealBench™ </w:t>
            </w:r>
            <w:r>
              <w:rPr>
                <w:color w:val="000000"/>
                <w:sz w:val="22"/>
              </w:rPr>
              <w:t xml:space="preserve">on Envera’s web site, and any communications or materials not prepared by DealBench concerning or referring to DealBench or </w:t>
            </w:r>
            <w:r>
              <w:rPr>
                <w:i/>
              </w:rPr>
              <w:t>DealBench™</w:t>
            </w:r>
            <w:r>
              <w:rPr>
                <w:i/>
                <w:sz w:val="22"/>
              </w:rPr>
              <w:t xml:space="preserve"> </w:t>
            </w:r>
            <w:r>
              <w:rPr>
                <w:iCs/>
                <w:sz w:val="22"/>
              </w:rPr>
              <w:t xml:space="preserve">, (ii) an option in favor of DealBench to decline to proceed with such linking if legal or regulatory requirements prohibit it or would be, in DealBench’s </w:t>
            </w:r>
            <w:r>
              <w:rPr>
                <w:iCs/>
                <w:sz w:val="21"/>
              </w:rPr>
              <w:t>sole discretion, burdensome to comply with, and (iii) an option in favor of DealBench  to terminate such linking at any time for any reason or no reason.</w:t>
            </w:r>
          </w:p>
          <w:p>
            <w:pPr>
              <w:pStyle w:val="Normal"/>
              <w:jc w:val="both"/>
              <w:rPr>
                <w:color w:val="000000"/>
                <w:sz w:val="22"/>
              </w:rPr>
            </w:pPr>
            <w:r>
              <w:rPr>
                <w:color w:val="000000"/>
                <w:sz w:val="22"/>
              </w:rPr>
              <w:t xml:space="preserve">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u w:val="single"/>
              </w:rPr>
            </w:pPr>
            <w:r>
              <w:rPr>
                <w:b/>
                <w:sz w:val="22"/>
                <w:u w:val="single"/>
              </w:rPr>
            </w:r>
          </w:p>
          <w:p>
            <w:pPr>
              <w:pStyle w:val="Normal"/>
              <w:jc w:val="both"/>
              <w:rPr>
                <w:b/>
                <w:sz w:val="22"/>
                <w:u w:val="single"/>
              </w:rPr>
            </w:pPr>
            <w:r>
              <w:rPr>
                <w:b/>
                <w:sz w:val="22"/>
                <w:u w:val="single"/>
              </w:rPr>
            </w:r>
          </w:p>
        </w:tc>
      </w:tr>
      <w:tr>
        <w:trPr/>
        <w:tc>
          <w:tcPr>
            <w:tcW w:w="2178" w:type="dxa"/>
            <w:tcBorders/>
          </w:tcPr>
          <w:p>
            <w:pPr>
              <w:pStyle w:val="Normal"/>
              <w:rPr>
                <w:b/>
                <w:sz w:val="22"/>
              </w:rPr>
            </w:pPr>
            <w:r>
              <w:rPr>
                <w:b/>
                <w:sz w:val="22"/>
              </w:rPr>
              <w:t>Trading Membership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Separately and independent from the consideration for acquisition of Envera’s equity contemplated herein, but as a condition precedent to the execution of any other Definitive Agreement, Enron shall, subject however to further due diligence and the preparation and agreement of definitive documentation, to Enron’s satisfaction, enter into a Trading Membership Agreement with Envera to become a site member for the period of 1 year at the $500,000 level, whereby Enron shall have all the benefits relating thereto for arrangements that Envera has in place with other members.</w:t>
            </w:r>
          </w:p>
          <w:p>
            <w:pPr>
              <w:pStyle w:val="Normal"/>
              <w:jc w:val="both"/>
              <w:rPr>
                <w:sz w:val="22"/>
              </w:rPr>
            </w:pPr>
            <w:r>
              <w:rPr>
                <w:sz w:val="22"/>
              </w:rPr>
            </w:r>
          </w:p>
          <w:p>
            <w:pPr>
              <w:pStyle w:val="Normal"/>
              <w:rPr>
                <w:sz w:val="22"/>
              </w:rPr>
            </w:pPr>
            <w:r>
              <w:rPr>
                <w:sz w:val="22"/>
              </w:rPr>
              <w:t>To the extent deemed appropriate by Enron, for transaction types currently supported by Envera and for business entered into with Enron (including EnronOnline, and direct chemicals business) by any Envera member, Enron commits to establish an electronic connection from Enron’s systems to the Envera Hub; translation of the required data in Enron systems to XML documents in Envera’s industry standard format to the extent mutually agreed; and transport the documents to Envera’s hub in accordance with the Trading Member Agreement.  There will be no minimum number of transactions.  Enron will work with Envera to facilitate completion of business transactions with Enron through the transmittal and receipt of XML documents via Envera.</w:t>
            </w:r>
          </w:p>
          <w:p>
            <w:pPr>
              <w:pStyle w:val="Normal"/>
              <w:rPr>
                <w:sz w:val="22"/>
              </w:rPr>
            </w:pPr>
            <w:r>
              <w:rPr>
                <w:sz w:val="22"/>
              </w:rPr>
            </w:r>
          </w:p>
          <w:p>
            <w:pPr>
              <w:pStyle w:val="Normal"/>
              <w:rPr>
                <w:sz w:val="22"/>
              </w:rPr>
            </w:pPr>
            <w:r>
              <w:rPr>
                <w:sz w:val="22"/>
              </w:rPr>
              <w:t xml:space="preserve">Implementation will be completed in an expeditious manner.  Implementation services and expertise will be provided by Envera and Enron resources.  The cost of implementation will be paid for by Enron on a time and materials basis at Envera’s standard rates.  Envera will make every effort to work with Enron to minimize implementation costs including utilizing Enron IT resources and any or all previous Envera implementation knowledge and materials.  After a review of Enron systems, Envera will provide a written cost estimate of expected out-of-pocket implementation costs, to be pre-approved by Enron.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3"/>
              <w:snapToGrid w:val="false"/>
              <w:rPr>
                <w:b/>
                <w:sz w:val="22"/>
              </w:rPr>
            </w:pPr>
            <w:r>
              <w:rPr>
                <w:b/>
                <w:sz w:val="22"/>
              </w:rPr>
            </w:r>
          </w:p>
        </w:tc>
      </w:tr>
      <w:tr>
        <w:trPr/>
        <w:tc>
          <w:tcPr>
            <w:tcW w:w="2178" w:type="dxa"/>
            <w:tcBorders/>
          </w:tcPr>
          <w:p>
            <w:pPr>
              <w:pStyle w:val="Normal"/>
              <w:rPr>
                <w:b/>
                <w:sz w:val="22"/>
              </w:rPr>
            </w:pPr>
            <w:r>
              <w:rPr>
                <w:b/>
                <w:sz w:val="22"/>
              </w:rPr>
              <w:t xml:space="preserve"> </w:t>
            </w:r>
            <w:r>
              <w:rPr>
                <w:b/>
                <w:sz w:val="22"/>
              </w:rPr>
              <w:t>Rights of First Offer:</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At any time prior to Envera’s initial public offering, Enron shall be entitled to purchase its pro rata (based upon its membership interest) share of any membership units offered by other Envera members to third parties, on the same terms and conditions as such membership units may be offered to such third parties (as described in detail in Section 11.3 of the Envera Operating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sz w:val="22"/>
              </w:rPr>
            </w:pPr>
            <w:r>
              <w:rPr>
                <w:sz w:val="22"/>
              </w:rPr>
              <w:t>At all times prior to Envera’s initial public offering, Enron shall be entitled to appoint a representative to Envera’s Board of Directors.   If Enron shall not have exercised its right to appoint a member of the Board, Enron shall be entitled to receive prior notice of board action, and shall be entitled to access to books and records of Envera.  Enron shall not have any responsibility for the day-to-day management of Envera;</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transfer its membership interest to the extent permitted by, and subject to, the restrictions, limitations and conditions set forth in Sections 11.1, 11.2, 11.3, 11.4, 11.5 and 11.6 of the Envera Operating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have the registration rights set forth in Article XII of the Envera Operating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Envera shall make representations and warranties (accompanied by customary indemnities) that are customary for transactions of this nature, including but not limited to: </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numPr>
                <w:ilvl w:val="0"/>
                <w:numId w:val="2"/>
              </w:numPr>
              <w:tabs>
                <w:tab w:val="clear" w:pos="720"/>
                <w:tab w:val="left" w:pos="1368" w:leader="none"/>
              </w:tabs>
              <w:ind w:hanging="360" w:start="1368" w:end="0"/>
              <w:jc w:val="both"/>
              <w:rPr>
                <w:sz w:val="22"/>
              </w:rPr>
            </w:pPr>
            <w:r>
              <w:rPr>
                <w:sz w:val="22"/>
              </w:rPr>
              <w:t>Patents and patent applications and copyrights.</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Envera;</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 and</w:t>
            </w:r>
          </w:p>
          <w:p>
            <w:pPr>
              <w:pStyle w:val="Normal"/>
              <w:numPr>
                <w:ilvl w:val="0"/>
                <w:numId w:val="2"/>
              </w:numPr>
              <w:tabs>
                <w:tab w:val="clear" w:pos="720"/>
                <w:tab w:val="left" w:pos="1368" w:leader="none"/>
              </w:tabs>
              <w:ind w:hanging="360" w:start="1368" w:end="0"/>
              <w:jc w:val="both"/>
              <w:rPr>
                <w:sz w:val="22"/>
              </w:rPr>
            </w:pPr>
            <w:r>
              <w:rPr>
                <w:sz w:val="22"/>
              </w:rPr>
              <w:t>such other representations and warranties as Envera may reasonably require consistent with representations and warranties made by the other Envera members.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p>
            <w:pPr>
              <w:pStyle w:val="Normal"/>
              <w:jc w:val="both"/>
              <w:rPr>
                <w:sz w:val="22"/>
              </w:rPr>
            </w:pPr>
            <w:r>
              <w:rPr>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Envera.  .  However, for a period of six-months from the date of the Definitive Agreement, Enron agrees not to enter into a similar commercial agreement with Elemica, Omnexus, eChemicals, AspenTech, webMethods, or Elastomer Solutions  subject to standard commercial exceptions and exclusions.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the parties;</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 and</w:t>
            </w:r>
          </w:p>
          <w:p>
            <w:pPr>
              <w:pStyle w:val="Normal"/>
              <w:numPr>
                <w:ilvl w:val="0"/>
                <w:numId w:val="3"/>
              </w:numPr>
              <w:jc w:val="both"/>
              <w:rPr>
                <w:sz w:val="22"/>
              </w:rPr>
            </w:pPr>
            <w:r>
              <w:rPr>
                <w:sz w:val="22"/>
              </w:rPr>
              <w:t>execution of the Trading Member Agreement.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Envera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Envera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p>
            <w:pPr>
              <w:pStyle w:val="Normal"/>
              <w:rPr>
                <w:b/>
                <w:sz w:val="22"/>
              </w:rPr>
            </w:pPr>
            <w:r>
              <w:rPr>
                <w:b/>
                <w:sz w:val="22"/>
              </w:rPr>
              <w:t>Public Announcements:</w:t>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p>
            <w:pPr>
              <w:pStyle w:val="Normal"/>
              <w:jc w:val="both"/>
              <w:rPr>
                <w:sz w:val="22"/>
              </w:rPr>
            </w:pPr>
            <w:r>
              <w:rPr>
                <w:sz w:val="22"/>
              </w:rPr>
              <w:t>The parties will mutually agree on the form and substance of a press release announcing the relationship between Enron and Envera promptly following execution and delivery by both parties of the definitive documents referred to herein.</w:t>
            </w:r>
          </w:p>
          <w:p>
            <w:pPr>
              <w:pStyle w:val="Normal"/>
              <w:jc w:val="both"/>
              <w:rPr>
                <w:sz w:val="22"/>
              </w:rPr>
            </w:pPr>
            <w:r>
              <w:rPr>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the state or states to be determined, except that the Envera subscription materials, Envera Operating Agreement and Envera New Member Network Agreement will be governed by the laws of the Commonwealth of Virginia, subject to Enron’s further due diligence.</w:t>
            </w:r>
          </w:p>
        </w:tc>
      </w:tr>
    </w:tbl>
    <w:p>
      <w:pPr>
        <w:pStyle w:val="Normal"/>
        <w:jc w:val="center"/>
        <w:rPr>
          <w:b/>
          <w:sz w:val="22"/>
        </w:rPr>
      </w:pPr>
      <w:r>
        <w:rPr>
          <w:b/>
          <w:sz w:val="22"/>
        </w:rPr>
      </w:r>
    </w:p>
    <w:p>
      <w:pPr>
        <w:pStyle w:val="BodyText"/>
        <w:rPr>
          <w:sz w:val="22"/>
        </w:rPr>
      </w:pPr>
      <w:r>
        <w:rPr>
          <w:sz w:val="22"/>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p>
      <w:pPr>
        <w:pStyle w:val="BodyText"/>
        <w:rPr>
          <w:sz w:val="22"/>
        </w:rPr>
      </w:pPr>
      <w:r>
        <w:rPr>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O:legal/jviveri/loi/EnveraTSFinal.doc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hanging="270" w:start="252" w:end="0"/>
      <w:jc w:val="both"/>
    </w:pPr>
    <w:rPr>
      <w:sz w:val="22"/>
    </w:rPr>
  </w:style>
  <w:style w:type="paragraph" w:styleId="BodyTextIndent2">
    <w:name w:val="Body Text Indent 2"/>
    <w:basedOn w:val="Normal"/>
    <w:qFormat/>
    <w:pPr>
      <w:ind w:hanging="342"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2000-12-20T20:07:00Z</dcterms:created>
  <dc:creator>tmccull</dc:creator>
  <dc:description/>
  <dc:language>en-CA</dc:language>
  <cp:lastModifiedBy>mrobiso</cp:lastModifiedBy>
  <cp:lastPrinted>2000-12-18T08:25:00Z</cp:lastPrinted>
  <dcterms:modified xsi:type="dcterms:W3CDTF">2000-12-20T20:24:00Z</dcterms:modified>
  <cp:revision>4</cp:revision>
  <dc:subject/>
  <dc:title>ATTACHMENT “A”</dc:title>
</cp:coreProperties>
</file>