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1"/>
        <w:ind w:hanging="0" w:start="0"/>
        <w:rPr/>
      </w:pPr>
      <w:r>
        <w:rPr/>
        <w:t>Detail of Control Recommendations with Rankings____________________________________</w:t>
      </w:r>
    </w:p>
    <w:p>
      <w:pPr>
        <w:pStyle w:val="Normal"/>
        <w:rPr>
          <w:sz w:val="22"/>
        </w:rPr>
      </w:pPr>
      <w:r>
        <w:rPr>
          <w:sz w:val="22"/>
        </w:rPr>
      </w:r>
    </w:p>
    <w:p>
      <w:pPr>
        <w:pStyle w:val="Normal"/>
        <w:rPr>
          <w:sz w:val="22"/>
        </w:rPr>
      </w:pPr>
      <w:r>
        <w:rPr>
          <w:sz w:val="22"/>
        </w:rPr>
      </w:r>
    </w:p>
    <w:tbl>
      <w:tblPr>
        <w:tblW w:w="15030" w:type="dxa"/>
        <w:jc w:val="start"/>
        <w:tblInd w:w="-882" w:type="dxa"/>
        <w:tblLayout w:type="fixed"/>
        <w:tblCellMar>
          <w:top w:w="0" w:type="dxa"/>
          <w:start w:w="108" w:type="dxa"/>
          <w:bottom w:w="0" w:type="dxa"/>
          <w:end w:w="108" w:type="dxa"/>
        </w:tblCellMar>
      </w:tblPr>
      <w:tblGrid>
        <w:gridCol w:w="720"/>
        <w:gridCol w:w="810"/>
        <w:gridCol w:w="4950"/>
        <w:gridCol w:w="4410"/>
        <w:gridCol w:w="4140"/>
      </w:tblGrid>
      <w:tr>
        <w:trPr>
          <w:tblHeader w:val="true"/>
        </w:trPr>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Map</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Rank</w:t>
            </w:r>
          </w:p>
        </w:tc>
        <w:tc>
          <w:tcPr>
            <w:tcW w:w="495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Reference &amp; Control Weakness</w:t>
            </w:r>
          </w:p>
        </w:tc>
        <w:tc>
          <w:tcPr>
            <w:tcW w:w="441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Recommendation</w:t>
            </w:r>
          </w:p>
        </w:tc>
        <w:tc>
          <w:tcPr>
            <w:tcW w:w="4140" w:type="dxa"/>
            <w:tcBorders>
              <w:top w:val="single" w:sz="4" w:space="0" w:color="000000"/>
              <w:start w:val="single" w:sz="4" w:space="0" w:color="000000"/>
              <w:bottom w:val="single" w:sz="4" w:space="0" w:color="000000"/>
              <w:end w:val="single" w:sz="4" w:space="0" w:color="000000"/>
            </w:tcBorders>
          </w:tcPr>
          <w:p>
            <w:pPr>
              <w:pStyle w:val="Normal"/>
              <w:jc w:val="center"/>
              <w:rPr>
                <w:b/>
                <w:sz w:val="22"/>
              </w:rPr>
            </w:pPr>
            <w:r>
              <w:rPr>
                <w:b/>
                <w:sz w:val="22"/>
              </w:rPr>
              <w:t>Comments/Status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Initiate.  Process moves between Access, EOL, and Excel spreadsheets.  With each application, risk of losing or distorting data increases.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Addressed in Phase II.</w:t>
            </w:r>
            <w:r>
              <w:rPr>
                <w:sz w:val="18"/>
              </w:rPr>
              <w:t xml:space="preserve">  Extend EOL functionality to credit, legal, and contracts with an interface and a single database.  This will speed up turnaround times and reduce the likelihood of data entry error. </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6/20 Profiles manager in test environment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M1P2</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Credit Approval.  Customer Profile Spreadsheets are shared by multiple users.  The manual nature of the customer setup/approval process increases the risk of loss of data integrity.  An automated notification/approval process in EOL should be considered to enhance efficiency and reliability, and to create an electronic audit trail.</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 xml:space="preserve">Addressed in Phase II.  </w:t>
            </w:r>
            <w:r>
              <w:rPr>
                <w:sz w:val="18"/>
              </w:rPr>
              <w:t xml:space="preserve">See above. </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FF"/>
                <w:sz w:val="18"/>
              </w:rPr>
            </w:pPr>
            <w:r>
              <w:rPr>
                <w:color w:val="000000"/>
                <w:sz w:val="18"/>
              </w:rPr>
              <w:t xml:space="preserve">6/20 Profiles manager in test environment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M1P3</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Contract Approval.  If the counterparty is a London customer, the Houston contracts group must route the request to the London Contracts group which lengthens turnaround time.  The converse is also true.</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 xml:space="preserve">Addressed in Phase II.  </w:t>
            </w: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FF"/>
                <w:sz w:val="18"/>
              </w:rPr>
            </w:pPr>
            <w:r>
              <w:rPr>
                <w:color w:val="000000"/>
                <w:sz w:val="18"/>
              </w:rPr>
              <w:t>6/20 Profiles manager in test environment</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M1P3</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Contract Approval.  It is sometimes difficult to meet the 72 hour turnaround for on-line trading approval due to:</w:t>
            </w:r>
          </w:p>
          <w:p>
            <w:pPr>
              <w:pStyle w:val="Normal"/>
              <w:rPr>
                <w:sz w:val="18"/>
              </w:rPr>
            </w:pPr>
            <w:r>
              <w:rPr>
                <w:sz w:val="18"/>
              </w:rPr>
              <w:t>- amount of time required by credit to receive accurate information from counterparty</w:t>
            </w:r>
          </w:p>
          <w:p>
            <w:pPr>
              <w:pStyle w:val="Normal"/>
              <w:rPr>
                <w:sz w:val="18"/>
              </w:rPr>
            </w:pPr>
            <w:r>
              <w:rPr>
                <w:sz w:val="18"/>
              </w:rPr>
              <w:t>- time zone differences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 xml:space="preserve">Addressed in Phase II.  </w:t>
            </w: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6/20 Profiles manager in test environment</w:t>
            </w:r>
          </w:p>
          <w:p>
            <w:pPr>
              <w:pStyle w:val="Normal"/>
              <w:rPr>
                <w:color w:val="000000"/>
                <w:sz w:val="18"/>
              </w:rPr>
            </w:pPr>
            <w:r>
              <w:rPr>
                <w:color w:val="000000"/>
                <w:sz w:val="18"/>
              </w:rPr>
              <w:t>Also, 72 hour turnaround time not feasible if waiting on customer.  Procedures are as follows:</w:t>
            </w:r>
          </w:p>
          <w:p>
            <w:pPr>
              <w:pStyle w:val="Normal"/>
              <w:numPr>
                <w:ilvl w:val="0"/>
                <w:numId w:val="2"/>
              </w:numPr>
              <w:rPr>
                <w:color w:val="0000FF"/>
                <w:sz w:val="18"/>
              </w:rPr>
            </w:pPr>
            <w:r>
              <w:rPr>
                <w:color w:val="0000FF"/>
                <w:sz w:val="18"/>
              </w:rPr>
              <w:t>Initial call to customer by credit</w:t>
            </w:r>
          </w:p>
          <w:p>
            <w:pPr>
              <w:pStyle w:val="Normal"/>
              <w:numPr>
                <w:ilvl w:val="0"/>
                <w:numId w:val="2"/>
              </w:numPr>
              <w:rPr>
                <w:color w:val="0000FF"/>
                <w:sz w:val="18"/>
              </w:rPr>
            </w:pPr>
            <w:r>
              <w:rPr>
                <w:color w:val="0000FF"/>
                <w:sz w:val="18"/>
              </w:rPr>
              <w:t>5 business days – 2</w:t>
            </w:r>
            <w:r>
              <w:rPr>
                <w:color w:val="0000FF"/>
                <w:sz w:val="18"/>
                <w:vertAlign w:val="superscript"/>
              </w:rPr>
              <w:t>nd</w:t>
            </w:r>
            <w:r>
              <w:rPr>
                <w:color w:val="0000FF"/>
                <w:sz w:val="18"/>
              </w:rPr>
              <w:t xml:space="preserve"> call and PCG initiates call to Master</w:t>
            </w:r>
          </w:p>
          <w:p>
            <w:pPr>
              <w:pStyle w:val="Normal"/>
              <w:numPr>
                <w:ilvl w:val="0"/>
                <w:numId w:val="2"/>
              </w:numPr>
              <w:rPr>
                <w:color w:val="0000FF"/>
                <w:sz w:val="18"/>
              </w:rPr>
            </w:pPr>
            <w:r>
              <w:rPr>
                <w:color w:val="0000FF"/>
                <w:sz w:val="18"/>
              </w:rPr>
              <w:t>5 business days – PCG makes final call</w:t>
            </w:r>
          </w:p>
          <w:p>
            <w:pPr>
              <w:pStyle w:val="Normal"/>
              <w:numPr>
                <w:ilvl w:val="0"/>
                <w:numId w:val="2"/>
              </w:numPr>
              <w:rPr>
                <w:color w:val="0000FF"/>
                <w:sz w:val="18"/>
              </w:rPr>
            </w:pPr>
            <w:r>
              <w:rPr>
                <w:color w:val="0000FF"/>
                <w:sz w:val="18"/>
              </w:rPr>
              <w:t>5 business days – rejection letter sent to customer</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M1P3</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Contract Approval.  Due to the manual nature of data entry, the contract agreement numbers are subject to error.  Contract personnel do not have read access to verify the data that ultimately ends up on EOL Data Manager to confirm accuracy of contract numbers.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This has already been corrected.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FF0000"/>
                <w:sz w:val="18"/>
              </w:rPr>
            </w:pPr>
            <w:r>
              <w:rPr>
                <w:color w:val="FF0000"/>
                <w:sz w:val="18"/>
              </w:rPr>
              <w:t>Done</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Account Activation.  Customer profile is not integrated in EnronOnline.  Completeness requirements should be reviewed periodically by an independent party.</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 xml:space="preserve">Addressed in Phase II.  </w:t>
            </w:r>
            <w:r>
              <w:rPr>
                <w:sz w:val="18"/>
              </w:rPr>
              <w:t>See above.  Also, consider a monthly review process to validate accurate entry of data.</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FF"/>
                <w:sz w:val="18"/>
              </w:rPr>
            </w:pPr>
            <w:r>
              <w:rPr>
                <w:color w:val="000000"/>
                <w:sz w:val="18"/>
              </w:rPr>
              <w:t>6/20 Profiles manager in test environment.  Determining reporting needs for audit purposes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Account Activation.  Customer accounts will require periodic review for such items as inactivity, appropriateness, mergers and acquisitions, name changes, etc.</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  Consider a monthly review process to validate accurate entry of data.</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PCG currently reviews monthly report of mergers, acquisitions, name changes, etc. received from Global against EOL</w:t>
            </w:r>
          </w:p>
          <w:p>
            <w:pPr>
              <w:pStyle w:val="Normal"/>
              <w:rPr>
                <w:sz w:val="18"/>
              </w:rPr>
            </w:pPr>
            <w:r>
              <w:rPr>
                <w:sz w:val="18"/>
              </w:rPr>
              <w:t xml:space="preserve">Inactivity/appropriateness – marketing database will identify customer inactivity/appropriateness.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Setup – Account Activation.  Only a Master Account must agree to the Electronic Trading Agreement (ETA). It is possible for a customer Master in one country to set up sub-accounts for users in another country without having agreed to the appropriate ETA for that country.</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Per the password agreement, customers are legally accountable for their treatment of sub-accounts and can only issue sub-accounts within their own country.  The risk of misuse of sub-accounts is further mitigated by the master trading controls within EOL.  As a final check, consider occasional review of appropriateness of trading status by product by counterparty. </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800000"/>
                <w:sz w:val="18"/>
              </w:rPr>
            </w:pPr>
            <w:r>
              <w:rPr>
                <w:color w:val="800000"/>
                <w:sz w:val="18"/>
              </w:rPr>
              <w:t>Low risk area – due to controls in place, no updates necessary.  The company is legally bound with the PA.</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M1P5</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Tax approvals are subsequent to the approval process.   A formalized follow up process to ensure tax work is completed is recommended.</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 tax component slows the approval process.  As a consequence, recommend periodic review to ensure tax approvals are, in fact, obtained.</w:t>
            </w:r>
          </w:p>
        </w:tc>
        <w:tc>
          <w:tcPr>
            <w:tcW w:w="4140" w:type="dxa"/>
            <w:tcBorders>
              <w:top w:val="single" w:sz="4" w:space="0" w:color="000000"/>
              <w:start w:val="single" w:sz="4" w:space="0" w:color="000000"/>
              <w:bottom w:val="single" w:sz="4" w:space="0" w:color="000000"/>
              <w:end w:val="single" w:sz="4" w:space="0" w:color="000000"/>
            </w:tcBorders>
          </w:tcPr>
          <w:p>
            <w:pPr>
              <w:pStyle w:val="BodyText2"/>
              <w:rPr>
                <w:color w:val="0000FF"/>
              </w:rPr>
            </w:pPr>
            <w:r>
              <w:rPr>
                <w:color w:val="FF0000"/>
              </w:rPr>
              <w:t>Done</w:t>
            </w:r>
            <w:r>
              <w:rPr/>
              <w:t xml:space="preserve"> – Tax report is on the Intranet site.  PCG updates twice a week.  Tax has priority of customers to review:</w:t>
            </w:r>
          </w:p>
          <w:p>
            <w:pPr>
              <w:pStyle w:val="Normal"/>
              <w:numPr>
                <w:ilvl w:val="0"/>
                <w:numId w:val="3"/>
              </w:numPr>
              <w:rPr>
                <w:color w:val="0000FF"/>
                <w:sz w:val="18"/>
              </w:rPr>
            </w:pPr>
            <w:r>
              <w:rPr>
                <w:color w:val="0000FF"/>
                <w:sz w:val="18"/>
              </w:rPr>
              <w:t>Customers who have transacted</w:t>
            </w:r>
          </w:p>
          <w:p>
            <w:pPr>
              <w:pStyle w:val="Normal"/>
              <w:numPr>
                <w:ilvl w:val="0"/>
                <w:numId w:val="3"/>
              </w:numPr>
              <w:rPr>
                <w:color w:val="0000FF"/>
                <w:sz w:val="18"/>
              </w:rPr>
            </w:pPr>
            <w:r>
              <w:rPr>
                <w:color w:val="0000FF"/>
                <w:sz w:val="18"/>
              </w:rPr>
              <w:t>Approved, no transactions</w:t>
            </w:r>
          </w:p>
          <w:p>
            <w:pPr>
              <w:pStyle w:val="Normal"/>
              <w:numPr>
                <w:ilvl w:val="0"/>
                <w:numId w:val="3"/>
              </w:numPr>
              <w:rPr>
                <w:color w:val="0000FF"/>
                <w:sz w:val="18"/>
              </w:rPr>
            </w:pPr>
            <w:r>
              <w:rPr>
                <w:color w:val="0000FF"/>
                <w:sz w:val="18"/>
              </w:rPr>
              <w:t>No application (pre-approved, not trading)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M3P1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Modify – M&amp;A. No individual or department at Enron is assigned specific responsibility to monitor customer mergers, acquisitions or divestitures.  Due to the "hands off" nature of conducting business electronically through EOL, notification of changes to counterparties business may challenge historical processes.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part of the occasional review process of counterparty appropriateness recommended above, include review of counterparty current status.</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PCG currently reviews monthly report of mergers, acquisitions, name changes, etc. received from Global against EOL</w:t>
            </w:r>
          </w:p>
          <w:p>
            <w:pPr>
              <w:pStyle w:val="Normal"/>
              <w:rPr>
                <w:sz w:val="18"/>
              </w:rPr>
            </w:pPr>
            <w:r>
              <w:rPr>
                <w:sz w:val="18"/>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M5P1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Customer Modify – Customer Name Change.  No one at Enron is assigned specific responsibility to monitor customer name changes.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PCG currently reviews monthly report of mergers, acquisitions, name changes, etc. received from Global against EOL</w:t>
            </w:r>
          </w:p>
          <w:p>
            <w:pPr>
              <w:pStyle w:val="Normal"/>
              <w:rPr>
                <w:sz w:val="18"/>
              </w:rPr>
            </w:pPr>
            <w:r>
              <w:rPr>
                <w:sz w:val="18"/>
              </w:rPr>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M6P1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Customer Remove.  No one currently reviews customer accounts for inactivity.   Inactive customer accounts are not automatically deactivated.  </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 management report should be developed to monitor counterparty inactivity.  Review of inactive accounts presents both a marketing opportunity as well as a control process.  The concern with inactive accounts is whether the appropriate user is, in fact, the legitimate user after a period of inactivity.  Since the password agreement transfers the risk of inappropriate activity to the customers, the need for automatic deactivation after inactivity should not be necessary.  Deactivation should occur after careful review.  (This recommendation is currently being addressed).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Marketing database will identify customer inactivity.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M7P1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Guest User Setup.  EOL Standards call for Guest accounts to expire after one day with few exceptions. Account expirations range from 24 hours to never expiring at the discretion of the Product Control Group. </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Exceptions to the 24 hour period should be managed down to zero.  Per the EOL team, guest accounts with un-expiring access have been reduced from 3000 to 22 counterparties (April 18, 2000). Guest accounts should undergo periodic review.  </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300 Guests – 40 logging in per day</w:t>
            </w:r>
          </w:p>
          <w:p>
            <w:pPr>
              <w:pStyle w:val="Normal"/>
              <w:rPr>
                <w:sz w:val="18"/>
              </w:rPr>
            </w:pPr>
            <w:r>
              <w:rPr>
                <w:sz w:val="18"/>
              </w:rPr>
              <w:t>HelpDesk review – monthly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M8P1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Guest User Remove.  Guest access can provide sensitive information to brokers, consulting firms, and retail customers.  It is very likely that as customer turnover occurs and personnel move to, for example, retail customers, the information in EnronOnline may be used to Enron's disadvantage.  Non-expiring guest accounts should be actively managed down to zero.</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of 5/9 we have 137 non-expiring guest users – the majority are Europe’s (approx 100).  London PCG is working on this.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M9P1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User Setup.  Enron internal users are set up with their password equal to their user name. Users are not required to change their passwords during their initial login. Users are also not required to periodically change their passwords.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New user accounts should have their passwords randomly generated. Users should be forced to change their passwords the first time they log into any EnronOnline application. Users should also be forced to change their passwords every 60 days, in accordance with Enron standards.</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Working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M10P1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User Modify.  Supervisor's explicit approval for change may not always be obtained.</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Without supervisor approval accounts should not be modified.  Appropriateness of user access should be reviewed monthly.</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Review on a monthly basis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M11P1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User Remove.  The HR terminations list is not always timely and does not always record all terminations.  This is not a control weakness to EOL, but is a general process that is ineffective at Enron.  This process will likely improve following the implementation of the SAP HR module.</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Appropriateness of user access should be reviewed monthly.  These reviews should occur at the application level and at the database level.  This is an important process since it is unlikely that all termination notices or transfers will be received in a timely manner.  Per the Product Control Group, weekly reviews are currently being conducted.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Review on a monthly basis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M11P1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User Remove.  The Product Control Group may not always be notified of transfers, particularly transfers between trading groups, on a timely basis.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Review on a monthly basis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M11P1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Enron User Remove.  The Enron Corp. Information Risk group is not notified of transfers or terminations by EnronOnline personnel. It is assumed that Information Risk receives the termination e-mails from HR. No specific request is made to Information Risk to remove the users' Oracle access.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FF0000"/>
                <w:sz w:val="18"/>
              </w:rPr>
              <w:t>Done</w:t>
            </w:r>
            <w:r>
              <w:rPr>
                <w:sz w:val="18"/>
              </w:rPr>
              <w:t xml:space="preserve"> - Review on a monthly basis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M13P1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Product Type Management – Setup.  The process for sending these e-mails (of new product types for approval) is currently manual. Plans call for these e-mails to be sent automatically when a new draft is created.</w:t>
            </w:r>
          </w:p>
        </w:tc>
        <w:tc>
          <w:tcPr>
            <w:tcW w:w="4410" w:type="dxa"/>
            <w:tcBorders>
              <w:top w:val="single" w:sz="4" w:space="0" w:color="000000"/>
              <w:start w:val="single" w:sz="4" w:space="0" w:color="000000"/>
              <w:bottom w:val="single" w:sz="4" w:space="0" w:color="000000"/>
              <w:end w:val="single" w:sz="4" w:space="0" w:color="000000"/>
            </w:tcBorders>
          </w:tcPr>
          <w:p>
            <w:pPr>
              <w:pStyle w:val="Normal"/>
              <w:rPr/>
            </w:pPr>
            <w:r>
              <w:rPr>
                <w:color w:val="0000FF"/>
                <w:sz w:val="18"/>
              </w:rPr>
              <w:t xml:space="preserve">Addressed in Phase II.  </w:t>
            </w:r>
            <w:r>
              <w:rPr>
                <w:sz w:val="18"/>
              </w:rPr>
              <w:t>Automated notifications will help ensure that all parties are aware of new product types.</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000000"/>
                <w:sz w:val="18"/>
              </w:rPr>
            </w:pPr>
            <w:r>
              <w:rPr>
                <w:color w:val="000000"/>
                <w:sz w:val="18"/>
              </w:rPr>
              <w:t>Wish list item</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M15P1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Product Type Management – Remove.  Currently, there is no process to archive Product Types and underlying products that are not being actively traded.  This also applies to Product Types that have been rejected during the approval process.  This item is more of a performance issue than a control issue, since management of large quantities of data can eventually prove unwieldy but may not cause control issues.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 general, consider procedures to archive historical EOL data.  As data volumes grow, EOL may suffer performance issues unless data is archived.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000000"/>
                <w:sz w:val="18"/>
              </w:rPr>
              <w:t>Wish list item</w:t>
            </w:r>
            <w:r>
              <w:rPr>
                <w:sz w:val="18"/>
              </w:rPr>
              <w:t xml:space="preserve"> </w:t>
            </w:r>
            <w:r>
              <w:rPr>
                <w:color w:val="FF0000"/>
                <w:sz w:val="18"/>
              </w:rPr>
              <w:t>– see note below – this comment applies to inactive products, obsolete is referenced below</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M16P1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Product Management – Setup.  Each portion of the product description has a limited number of characters.  The reference period (start/end dates) field sometimes cannot contain the required descriptive information.  Other fields are sometimes used to accommodate character overruns.  This does not affect transaction processing, only descriptive information.  Plans are in place to modify these fields to accommodate future needs.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Currently being addressed – description field widths are being expanded.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pPr>
            <w:r>
              <w:rPr>
                <w:color w:val="000000"/>
                <w:sz w:val="18"/>
              </w:rPr>
              <w:t>Wish list item</w:t>
            </w:r>
            <w:r>
              <w:rPr>
                <w:sz w:val="18"/>
              </w:rPr>
              <w:t xml:space="preserve">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M16P1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Product Management – Setup.  Garbage checks that facilitate error checking against price and volume input errors in Stack Manager are recommended, </w:t>
            </w:r>
            <w:r>
              <w:rPr>
                <w:color w:val="FF0000"/>
                <w:sz w:val="18"/>
              </w:rPr>
              <w:t>but not systematically required.</w:t>
            </w:r>
            <w:r>
              <w:rPr>
                <w:sz w:val="18"/>
              </w:rPr>
              <w:t xml:space="preserve">  </w:t>
            </w:r>
            <w:r>
              <w:rPr>
                <w:color w:val="FF0000"/>
                <w:sz w:val="18"/>
              </w:rPr>
              <w:t>PCG reviews these parameters set by the trader to confirm them for reasonableness.</w:t>
            </w:r>
            <w:r>
              <w:rPr>
                <w:sz w:val="18"/>
              </w:rPr>
              <w:t xml:space="preserve">  </w:t>
            </w:r>
            <w:r>
              <w:rPr>
                <w:color w:val="FF0000"/>
                <w:sz w:val="18"/>
              </w:rPr>
              <w:t>The system should force garbage checks on all products.</w:t>
            </w:r>
            <w:r>
              <w:rPr>
                <w:sz w:val="18"/>
              </w:rPr>
              <w:t xml:space="preserve">  A management control report should be used in EOL to monitor the garbage check settings for active products by Product Type.</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Consider requiring garbage checks on all products.  At a minimum, a management control report should be used in EOL to monitor the garbage check settings for active products by Product Type.  </w:t>
            </w:r>
            <w:r>
              <w:rPr>
                <w:color w:val="FF0000"/>
                <w:sz w:val="18"/>
              </w:rPr>
              <w:t>Our understanding is this report is under development.</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FF0000"/>
                <w:sz w:val="18"/>
              </w:rPr>
            </w:pPr>
            <w:r>
              <w:rPr>
                <w:color w:val="FF0000"/>
                <w:sz w:val="18"/>
              </w:rPr>
              <w:t>This comment is not correct.  Commercial has to put something in, and PCG does not review for reasonableness.  Who is developing report?  Our issue here is that the warning can be higher than the absolute failure.  Commercial should review reasonableness of garbage checks, not PCG.</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M18P1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pPr>
            <w:r>
              <w:rPr>
                <w:sz w:val="18"/>
              </w:rPr>
              <w:t xml:space="preserve">Product Management – Remove.  Currently, there is no process to archive </w:t>
            </w:r>
            <w:r>
              <w:rPr>
                <w:color w:val="FF0000"/>
                <w:sz w:val="18"/>
              </w:rPr>
              <w:t>inactive or</w:t>
            </w:r>
            <w:r>
              <w:rPr>
                <w:sz w:val="18"/>
              </w:rPr>
              <w:t xml:space="preserve"> obsolete products in EOL that have been transacted in the past.</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 general, consider procedures to archive historical EOL data. As data volumes grow, EOL may suffer performance issues unless data is archived.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FF0000"/>
                <w:sz w:val="18"/>
              </w:rPr>
            </w:pPr>
            <w:r>
              <w:rPr>
                <w:color w:val="FF0000"/>
                <w:sz w:val="18"/>
              </w:rPr>
              <w:t>Done</w:t>
            </w:r>
            <w:r>
              <w:rPr>
                <w:color w:val="000000"/>
                <w:sz w:val="18"/>
              </w:rPr>
              <w:t xml:space="preserve"> – obsolete products are archived – only PCG can see them.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M23P1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Interface Management – ENA Bridge Monitoring.  Failures are usually a result of using the wrong book, most commonly when physical deals are booked to financial deals.  EOL cannot direct such trades.  These trades are cleared from the failure category by making manual entries in the back office systems.  Manual entries are a common cause of failures in the bridge monitor.   Manual entries are estimated at less than 3% of total trades.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Manual entries are the most likely source of data errors.  For this reason, recommend automating as many deals as possible in the exchange process to back office applications.</w:t>
            </w:r>
          </w:p>
        </w:tc>
        <w:tc>
          <w:tcPr>
            <w:tcW w:w="4140" w:type="dxa"/>
            <w:tcBorders>
              <w:top w:val="single" w:sz="4" w:space="0" w:color="000000"/>
              <w:start w:val="single" w:sz="4" w:space="0" w:color="000000"/>
              <w:bottom w:val="single" w:sz="4" w:space="0" w:color="000000"/>
              <w:end w:val="single" w:sz="4" w:space="0" w:color="000000"/>
            </w:tcBorders>
          </w:tcPr>
          <w:p>
            <w:pPr>
              <w:pStyle w:val="Normal"/>
              <w:rPr>
                <w:color w:val="FF0000"/>
                <w:sz w:val="18"/>
              </w:rPr>
            </w:pPr>
            <w:r>
              <w:rPr>
                <w:color w:val="FF0000"/>
                <w:sz w:val="18"/>
              </w:rPr>
              <w:t>Done</w:t>
            </w:r>
            <w:r>
              <w:rPr>
                <w:sz w:val="18"/>
              </w:rPr>
              <w:t xml:space="preserve"> - Table built for Phy to Fin deals, failure rate is approx. 1% and primarily consists of spreadsheets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M23P1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Interface Management – ENA Bridge Monitoring.  EOL and the bridges do not forward and confirm hash totals (or at minimum byte counts) between applications.  Hash totals would be used to confirm accuracy of content.</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Transactions are reconciled between applications with deal counts.  This is effective for total counts, but does not measure the accuracy of transmissions.  Hash totals (typically sums of numeric fields within a record or file) should be used to validate accuracy between systems.  These totals could in turn be used to simplify the reconciliation process.</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Discussing with bridge IT techs</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M23P1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Interface Management – ENA Bridge Monitoring.  Reconciliation process is manually intensive and detective only.  Consider automating reconciliations.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Automating reconciliations between EOL and the back office applications should free personnel time and enhance accuracy.  The current rewrite in Oracle of the Access database reporting tool may provide an opportunity for this.</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M23P2</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Interface Management – ENA Bridge Monitoring. Manual interfaces are the most likely point of entry for data integrity problems.  </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These interfaces should be automated where reasonable (i.e. If the number of transactions exchanged warrants the effort).</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Reporting database in development phase.  Estimated completion date – June/July </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No controls  (hash totals, byte counts) to ensure complete download of data.</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Consider including hash totals from the interface component as reconciling item.  This will help validate completeness of data exchanged.</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Access MDB's limited to 2G of data.  Need to monitor file size as raw data file grows.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Currently being addressed with Oracle reprogramming.  MS Access is limited in the amount of data it can process efficiently.  As the raw data file grows, performance issues are inevitable.</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Spreadsheets are very susceptible to inadvertent entry errors.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As mentioned in other sections, spreadsheet input and cutting and pasting errors are a common problem.  Where possible, consider automating feeds to the new Oracle application, much the same as what is currently being done with TAGG and the Access application.</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M</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Complex queries are susceptible to errors, especially in a dynamic environment.  Recommend periodic reconciliation of output to raw data.</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Independent queries that validate summary results should be conducted periodically to ensure effective processing.</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Data integrity of spreadsheets is very susceptible to human error.</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Recommend minimizing use of spreadsheets.</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L</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E-mail problems will result in delay of reports.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Communications issues may hamper timely turnaround of reports.  If extended delays occur, reports can be sent by alternate means (FTP, Drop boxes, Mail). </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Reformatting process may introduce data integrity problems.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 (spreadsheet usage).</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p>
            <w:pPr>
              <w:pStyle w:val="Normal"/>
              <w:rPr>
                <w:sz w:val="18"/>
              </w:rPr>
            </w:pPr>
            <w:r>
              <w:rPr>
                <w:sz w:val="18"/>
              </w:rPr>
              <w:t>Standard format sent to Europe in 3/2000</w:t>
            </w:r>
          </w:p>
        </w:tc>
      </w:tr>
      <w:tr>
        <w:trPr/>
        <w:tc>
          <w:tcPr>
            <w:tcW w:w="72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M24P1</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sz w:val="18"/>
              </w:rPr>
            </w:pPr>
            <w:r>
              <w:rPr>
                <w:sz w:val="18"/>
              </w:rPr>
              <w:t>H</w:t>
            </w:r>
          </w:p>
        </w:tc>
        <w:tc>
          <w:tcPr>
            <w:tcW w:w="495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Management Reporting – Percent of Total Daily Reporting. Copying and pasting is likely to result in data integrity problems.</w:t>
            </w:r>
          </w:p>
        </w:tc>
        <w:tc>
          <w:tcPr>
            <w:tcW w:w="441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See above (spreadsheet usage).</w:t>
            </w:r>
          </w:p>
        </w:tc>
        <w:tc>
          <w:tcPr>
            <w:tcW w:w="414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Reporting database in development phase.  Estimated completion date – June/July</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footerReference w:type="default" r:id="rId3"/>
      <w:type w:val="nextPage"/>
      <w:pgSz w:orient="landscape" w:w="15840" w:h="12240"/>
      <w:pgMar w:left="1440" w:right="1440" w:gutter="0" w:header="720" w:top="180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double" w:sz="4" w:space="1" w:color="000000"/>
      </w:pBdr>
      <w:tabs>
        <w:tab w:val="clear" w:pos="8640"/>
        <w:tab w:val="center" w:pos="4320" w:leader="none"/>
        <w:tab w:val="right" w:pos="9720" w:leader="none"/>
      </w:tabs>
      <w:ind w:firstLine="720" w:end="0"/>
      <w:jc w:val="end"/>
      <w:rPr>
        <w:color w:val="000000"/>
      </w:rPr>
    </w:pPr>
    <w:r>
      <w:rPr>
        <w:color w:val="000000"/>
      </w:rPr>
    </w:r>
  </w:p>
  <w:p>
    <w:pPr>
      <w:pStyle w:val="Footer"/>
      <w:tabs>
        <w:tab w:val="clear" w:pos="8640"/>
        <w:tab w:val="center" w:pos="4320" w:leader="none"/>
        <w:tab w:val="right" w:pos="9720" w:leader="none"/>
      </w:tabs>
      <w:ind w:start="720" w:end="0"/>
      <w:jc w:val="end"/>
      <w:rPr>
        <w:color w:val="000000"/>
      </w:rPr>
    </w:pPr>
    <w:r>
      <w:rPr>
        <w:color w:val="000000"/>
        <w:lang w:eastAsia="en-US"/>
      </w:rPr>
      <w:t xml:space="preserve">Page </w:t>
    </w:r>
    <w:r>
      <w:rPr>
        <w:color w:val="000000"/>
        <w:lang w:eastAsia="en-US"/>
      </w:rPr>
      <w:fldChar w:fldCharType="begin"/>
    </w:r>
    <w:r>
      <w:rPr>
        <w:color w:val="000000"/>
        <w:lang w:eastAsia="en-US"/>
      </w:rPr>
      <w:instrText xml:space="preserve"> PAGE </w:instrText>
    </w:r>
    <w:r>
      <w:rPr>
        <w:color w:val="000000"/>
        <w:lang w:eastAsia="en-US"/>
      </w:rPr>
      <w:fldChar w:fldCharType="separate"/>
    </w:r>
    <w:r>
      <w:rPr>
        <w:color w:val="000000"/>
        <w:lang w:eastAsia="en-US"/>
      </w:rPr>
      <w:t>6</w:t>
    </w:r>
    <w:r>
      <w:rPr>
        <w:color w:val="000000"/>
        <w:lang w:eastAsia="en-US"/>
      </w:rPr>
      <w:fldChar w:fldCharType="end"/>
    </w:r>
    <w:r>
      <w:rPr>
        <w:color w:val="000000"/>
        <w:lang w:eastAsia="en-US"/>
      </w:rPr>
      <w:t xml:space="preserve"> of </w:t>
    </w:r>
    <w:r>
      <w:rPr>
        <w:color w:val="000000"/>
        <w:lang w:eastAsia="en-US"/>
      </w:rPr>
      <w:fldChar w:fldCharType="begin"/>
    </w:r>
    <w:r>
      <w:rPr>
        <w:color w:val="000000"/>
        <w:lang w:eastAsia="en-US"/>
      </w:rPr>
      <w:instrText xml:space="preserve"> NUMPAGES \* ARABIC </w:instrText>
    </w:r>
    <w:r>
      <w:rPr>
        <w:color w:val="000000"/>
        <w:lang w:eastAsia="en-US"/>
      </w:rPr>
      <w:fldChar w:fldCharType="separate"/>
    </w:r>
    <w:r>
      <w:rPr>
        <w:color w:val="000000"/>
        <w:lang w:eastAsia="en-US"/>
      </w:rPr>
      <w:t>6</w:t>
    </w:r>
    <w:r>
      <w:rPr>
        <w:color w:val="000000"/>
        <w:lang w:eastAsia="en-US"/>
      </w:rPr>
      <w:fldChar w:fldCharType="end"/>
    </w:r>
  </w:p>
  <w:p>
    <w:pPr>
      <w:pStyle w:val="Footer"/>
      <w:tabs>
        <w:tab w:val="clear" w:pos="8640"/>
        <w:tab w:val="center" w:pos="4320" w:leader="none"/>
        <w:tab w:val="right" w:pos="9720" w:leader="none"/>
      </w:tabs>
      <w:ind w:start="720" w:end="0"/>
      <w:jc w:val="center"/>
      <w:rPr>
        <w:rStyle w:val="PageNumber"/>
        <w:color w:val="FF0000"/>
      </w:rPr>
    </w:pPr>
    <w:r>
      <w:rPr>
        <w:color w:val="FF0000"/>
      </w:rPr>
      <w:t>Confidential &amp; Proprietary</w:t>
      <w:tab/>
    </w:r>
  </w:p>
  <w:p>
    <w:pPr>
      <w:pStyle w:val="Footer"/>
      <w:ind w:start="720" w:end="0"/>
      <w:jc w:val="center"/>
      <w:rPr/>
    </w:pPr>
    <w:r>
      <w:rPr>
        <w:color w:val="FF0000"/>
      </w:rPr>
      <w:t>Not for Distribution or Unauthorized Duplication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FF"/>
        <w:sz w:val="32"/>
      </w:rPr>
    </w:pPr>
    <w:r>
      <w:rPr>
        <w:b/>
        <w:color w:val="0000FF"/>
        <w:sz w:val="32"/>
      </w:rPr>
      <w:t>EnronOnline</w:t>
    </w:r>
  </w:p>
  <w:p>
    <w:pPr>
      <w:pStyle w:val="Header"/>
      <w:jc w:val="center"/>
      <w:rPr>
        <w:b/>
        <w:color w:val="0000FF"/>
        <w:sz w:val="32"/>
      </w:rPr>
    </w:pPr>
    <w:r>
      <w:rPr>
        <w:b/>
        <w:color w:val="0000FF"/>
        <w:sz w:val="32"/>
      </w:rPr>
      <w:t>Application and General IT Controls Review</w:t>
    </w:r>
  </w:p>
  <w:p>
    <w:pPr>
      <w:pStyle w:val="Header"/>
      <w:jc w:val="center"/>
      <w:rPr>
        <w:b/>
        <w:color w:val="0000FF"/>
        <w:sz w:val="32"/>
      </w:rPr>
    </w:pPr>
    <w:r>
      <w:rPr>
        <w:b/>
        <w:color w:val="0000FF"/>
        <w:sz w:val="32"/>
      </w:rPr>
      <w:t>Sheri Thomas</w:t>
    </w:r>
  </w:p>
  <w:p>
    <w:pPr>
      <w:pStyle w:val="Header"/>
      <w:jc w:val="center"/>
      <w:rPr>
        <w:b/>
        <w:sz w:val="32"/>
      </w:rPr>
    </w:pPr>
    <w:r>
      <w:rPr>
        <w:b/>
        <w:color w:val="0000FF"/>
        <w:sz w:val="32"/>
      </w:rPr>
      <w:t>______________________________________________________</w:t>
    </w:r>
  </w:p>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i/>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2000-05-03T12:53:00Z</dcterms:created>
  <dc:creator>aparson</dc:creator>
  <dc:description/>
  <dc:language>en-CA</dc:language>
  <cp:lastModifiedBy>sthomas</cp:lastModifiedBy>
  <cp:lastPrinted>2000-06-22T09:57:00Z</cp:lastPrinted>
  <dcterms:modified xsi:type="dcterms:W3CDTF">2000-06-26T19:30:00Z</dcterms:modified>
  <cp:revision>14</cp:revision>
  <dc:subject/>
  <dc:title>The Enron Corp</dc:title>
</cp:coreProperties>
</file>