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firstLine="720" w:start="0" w:end="0"/>
        <w:jc w:val="center"/>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jc w:val="center"/>
        <w:rPr>
          <w:sz w:val="48"/>
        </w:rPr>
      </w:pPr>
      <w:r>
        <w:rPr>
          <w:sz w:val="48"/>
        </w:rPr>
        <w:t>REQUEST FOR PROPOSALS</w:t>
      </w:r>
    </w:p>
    <w:p>
      <w:pPr>
        <w:pStyle w:val="Normal"/>
        <w:jc w:val="center"/>
        <w:rPr>
          <w:sz w:val="48"/>
        </w:rPr>
      </w:pPr>
      <w:r>
        <w:rPr>
          <w:sz w:val="48"/>
        </w:rPr>
      </w:r>
    </w:p>
    <w:p>
      <w:pPr>
        <w:pStyle w:val="Normal"/>
        <w:jc w:val="center"/>
        <w:rPr>
          <w:sz w:val="48"/>
        </w:rPr>
      </w:pPr>
      <w:r>
        <w:rPr>
          <w:sz w:val="48"/>
        </w:rPr>
        <w:t>RELIANT ENERGY SERVICES, INC.</w:t>
      </w:r>
    </w:p>
    <w:p>
      <w:pPr>
        <w:pStyle w:val="Normal"/>
        <w:jc w:val="center"/>
        <w:rPr>
          <w:sz w:val="48"/>
        </w:rPr>
      </w:pPr>
      <w:r>
        <w:rPr>
          <w:sz w:val="48"/>
        </w:rPr>
      </w:r>
    </w:p>
    <w:p>
      <w:pPr>
        <w:pStyle w:val="Normal"/>
        <w:jc w:val="center"/>
        <w:rPr>
          <w:b/>
          <w:sz w:val="48"/>
          <w:u w:val="single"/>
        </w:rPr>
      </w:pPr>
      <w:r>
        <w:rPr>
          <w:b/>
          <w:sz w:val="48"/>
          <w:u w:val="single"/>
        </w:rPr>
        <w:t>10% of Price To Beat Load</w:t>
      </w:r>
    </w:p>
    <w:p>
      <w:pPr>
        <w:pStyle w:val="Normal"/>
        <w:jc w:val="center"/>
        <w:rPr>
          <w:b/>
          <w:sz w:val="48"/>
          <w:u w:val="single"/>
        </w:rPr>
      </w:pPr>
      <w:r>
        <w:rPr>
          <w:b/>
          <w:sz w:val="48"/>
          <w:u w:val="single"/>
        </w:rPr>
      </w:r>
    </w:p>
    <w:p>
      <w:pPr>
        <w:pStyle w:val="Normal"/>
        <w:jc w:val="center"/>
        <w:rPr>
          <w:sz w:val="48"/>
        </w:rPr>
      </w:pPr>
      <w:r>
        <w:rPr>
          <w:sz w:val="48"/>
        </w:rPr>
        <w:t>August 24, 2001</w:t>
      </w:r>
    </w:p>
    <w:p>
      <w:pPr>
        <w:pStyle w:val="Normal"/>
        <w:jc w:val="center"/>
        <w:rPr>
          <w:sz w:val="48"/>
        </w:rPr>
      </w:pPr>
      <w:r>
        <w:rPr>
          <w:sz w:val="48"/>
        </w:rPr>
      </w:r>
    </w:p>
    <w:p>
      <w:pPr>
        <w:pStyle w:val="Normal"/>
        <w:jc w:val="center"/>
        <w:rPr>
          <w:sz w:val="48"/>
        </w:rPr>
      </w:pPr>
      <w:r>
        <w:rPr>
          <w:sz w:val="48"/>
        </w:rPr>
      </w:r>
    </w:p>
    <w:p>
      <w:pPr>
        <w:pStyle w:val="Normal"/>
        <w:jc w:val="center"/>
        <w:rPr>
          <w:sz w:val="48"/>
        </w:rPr>
      </w:pPr>
      <w:r>
        <w:rPr>
          <w:sz w:val="48"/>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Pr>
    </w:p>
    <w:p>
      <w:pPr>
        <w:pStyle w:val="Heading1"/>
        <w:numPr>
          <w:ilvl w:val="0"/>
          <w:numId w:val="0"/>
        </w:numPr>
        <w:jc w:val="center"/>
        <w:rPr>
          <w:sz w:val="48"/>
        </w:rPr>
      </w:pPr>
      <w:r>
        <w:rPr>
          <w:sz w:val="48"/>
        </w:rPr>
      </w:r>
      <w:r>
        <w:br w:type="page"/>
      </w:r>
    </w:p>
    <w:p>
      <w:pPr>
        <w:pStyle w:val="Heading1"/>
        <w:ind w:hanging="0" w:start="0"/>
        <w:jc w:val="center"/>
        <w:rPr>
          <w:b/>
          <w:sz w:val="28"/>
        </w:rPr>
      </w:pPr>
      <w:r>
        <w:rPr>
          <w:b/>
          <w:sz w:val="28"/>
        </w:rPr>
        <w:t>Request for Proposals (RFP)</w:t>
      </w:r>
    </w:p>
    <w:p>
      <w:pPr>
        <w:pStyle w:val="Normal"/>
        <w:rPr>
          <w:b/>
          <w:sz w:val="28"/>
        </w:rPr>
      </w:pPr>
      <w:r>
        <w:rPr>
          <w:b/>
          <w:sz w:val="28"/>
        </w:rPr>
      </w:r>
    </w:p>
    <w:p>
      <w:pPr>
        <w:pStyle w:val="BodyText"/>
        <w:ind w:firstLine="720" w:end="0"/>
        <w:rPr/>
      </w:pPr>
      <w:r>
        <w:rPr/>
        <w:t xml:space="preserve">Reliant Energy Services, Inc (RES) on behalf of Reliant Energy Retail Services, LLC, is requesting proposals from eligible suppliers for must take firm energy with liquidated damages (Energy) and ancillary services (AS) to supply 10% of its price-to-beat load (10PTB Load).  The total price-to-beat (PTB) load consists of residential and small commercial customers located in the Reliant Energy HL&amp;P transmission and distribution service area that are eligible to receive the price-to-beat service in accordance with PUC Substantive Rule §25.41.  Under PUC Substantive Rule §25.41(c)(9), affiliated REPs that offer PTB service must issue an RFP to supply 10% of their PTB load for a period of three years.  </w:t>
      </w:r>
    </w:p>
    <w:p>
      <w:pPr>
        <w:pStyle w:val="BodyText"/>
        <w:ind w:firstLine="720" w:end="0"/>
        <w:rPr/>
      </w:pPr>
      <w:r>
        <w:rPr/>
        <w:t xml:space="preserve">A specification for RES’s preferred supply proposal is listed in Appendix A.  Suppliers may offer to serve all or a portion of the 10PTB Load (less than or equal to 912 MW). </w:t>
      </w:r>
    </w:p>
    <w:p>
      <w:pPr>
        <w:pStyle w:val="BodyText"/>
        <w:rPr/>
      </w:pPr>
      <w:r>
        <w:rPr/>
      </w:r>
    </w:p>
    <w:p>
      <w:pPr>
        <w:pStyle w:val="BodyText"/>
        <w:jc w:val="center"/>
        <w:rPr>
          <w:b/>
          <w:sz w:val="28"/>
        </w:rPr>
      </w:pPr>
      <w:r>
        <w:rPr>
          <w:b/>
          <w:sz w:val="28"/>
        </w:rPr>
        <w:t>Eligible Suppliers</w:t>
      </w:r>
    </w:p>
    <w:p>
      <w:pPr>
        <w:pStyle w:val="BodyText"/>
        <w:jc w:val="center"/>
        <w:rPr>
          <w:b/>
          <w:sz w:val="28"/>
        </w:rPr>
      </w:pPr>
      <w:r>
        <w:rPr>
          <w:b/>
          <w:sz w:val="28"/>
        </w:rPr>
      </w:r>
    </w:p>
    <w:p>
      <w:pPr>
        <w:pStyle w:val="BodyText"/>
        <w:rPr/>
      </w:pPr>
      <w:r>
        <w:rPr>
          <w:b/>
          <w:sz w:val="28"/>
        </w:rPr>
        <w:tab/>
      </w:r>
      <w:r>
        <w:rPr/>
        <w:t>An eligible supplier is a supplier who either (1) has an executed Master Power Purchase &amp; Sale Agreement in place with RES or (2) is able to successfully negotiate an EEI Master Power Purchase &amp; Sale Agreement with RES within the time frame outlined in this RFP and who have sufficient credit to transact with RES.  Reliant Energy’s affiliated power generating company will not be participating in this RFP and is not considered an eligible supplier for purposes of this RFP.</w:t>
      </w:r>
    </w:p>
    <w:p>
      <w:pPr>
        <w:pStyle w:val="BodyText"/>
        <w:rPr/>
      </w:pPr>
      <w:r>
        <w:rPr/>
      </w:r>
    </w:p>
    <w:p>
      <w:pPr>
        <w:pStyle w:val="BodyText"/>
        <w:jc w:val="center"/>
        <w:rPr>
          <w:b/>
          <w:sz w:val="28"/>
        </w:rPr>
      </w:pPr>
      <w:r>
        <w:rPr>
          <w:b/>
          <w:sz w:val="28"/>
        </w:rPr>
        <w:t>Term</w:t>
      </w:r>
    </w:p>
    <w:p>
      <w:pPr>
        <w:pStyle w:val="BodyText"/>
        <w:jc w:val="center"/>
        <w:rPr>
          <w:b/>
          <w:sz w:val="28"/>
        </w:rPr>
      </w:pPr>
      <w:r>
        <w:rPr>
          <w:b/>
          <w:sz w:val="28"/>
        </w:rPr>
      </w:r>
    </w:p>
    <w:p>
      <w:pPr>
        <w:pStyle w:val="BodyText"/>
        <w:ind w:firstLine="720" w:end="0"/>
        <w:rPr/>
      </w:pPr>
      <w:r>
        <w:rPr/>
        <w:t>RES is requesting proposals from eligible suppliers for a term of 3 years beginning on January 1, 2002 and ending December 31, 2004.</w:t>
      </w:r>
    </w:p>
    <w:p>
      <w:pPr>
        <w:pStyle w:val="BodyText"/>
        <w:ind w:firstLine="720" w:end="0"/>
        <w:jc w:val="center"/>
        <w:rPr/>
      </w:pPr>
      <w:r>
        <w:rPr/>
      </w:r>
    </w:p>
    <w:p>
      <w:pPr>
        <w:pStyle w:val="BodyText"/>
        <w:jc w:val="center"/>
        <w:rPr>
          <w:b/>
          <w:sz w:val="28"/>
        </w:rPr>
      </w:pPr>
      <w:r>
        <w:rPr>
          <w:b/>
          <w:sz w:val="28"/>
        </w:rPr>
        <w:t>10% of the PTB Load</w:t>
      </w:r>
    </w:p>
    <w:p>
      <w:pPr>
        <w:pStyle w:val="BodyText"/>
        <w:jc w:val="center"/>
        <w:rPr>
          <w:b/>
          <w:sz w:val="28"/>
        </w:rPr>
      </w:pPr>
      <w:r>
        <w:rPr>
          <w:b/>
          <w:sz w:val="28"/>
        </w:rPr>
      </w:r>
    </w:p>
    <w:p>
      <w:pPr>
        <w:pStyle w:val="BodyText"/>
        <w:ind w:firstLine="720" w:end="0"/>
        <w:rPr/>
      </w:pPr>
      <w:r>
        <w:rPr/>
        <w:t>The monthly peak demands and energy requirements of the10PTB Load are set forth in Appendix B and the hourly requirements for January 1, 2002 through December 31, 2004 are provided in an electronic file as part of this RFP.  For purposes of this RFP and the resulting contract(s), the 10PTB Load energy requirements are pre-determined and will not vary from what is provided in the electronic file provided in this RFP.</w:t>
      </w:r>
    </w:p>
    <w:p>
      <w:pPr>
        <w:pStyle w:val="BodyText"/>
        <w:ind w:firstLine="720" w:end="0"/>
        <w:rPr/>
      </w:pPr>
      <w:r>
        <w:rPr/>
      </w:r>
    </w:p>
    <w:p>
      <w:pPr>
        <w:pStyle w:val="BodyText"/>
        <w:ind w:firstLine="720" w:end="0"/>
        <w:rPr/>
      </w:pPr>
      <w:r>
        <w:rPr/>
        <w:t>Max. hourly 10PTB Load over 3 year term:</w:t>
        <w:tab/>
        <w:t>912 MW</w:t>
      </w:r>
    </w:p>
    <w:p>
      <w:pPr>
        <w:pStyle w:val="BodyText"/>
        <w:ind w:firstLine="720" w:end="0"/>
        <w:rPr/>
      </w:pPr>
      <w:r>
        <w:rPr/>
        <w:t>Min. hourly 10PTB Load over 3 year term:</w:t>
        <w:tab/>
        <w:t>100 MW</w:t>
      </w:r>
    </w:p>
    <w:p>
      <w:pPr>
        <w:pStyle w:val="BodyText"/>
        <w:ind w:start="3600" w:end="0"/>
        <w:rPr/>
      </w:pPr>
      <w:r>
        <w:rPr/>
        <w:t xml:space="preserve"> </w:t>
      </w:r>
      <w:r>
        <w:rPr/>
        <w:t>Load Factor:</w:t>
        <w:tab/>
        <w:t>48%</w:t>
      </w:r>
    </w:p>
    <w:p>
      <w:pPr>
        <w:pStyle w:val="BodyText"/>
        <w:ind w:hanging="2160" w:start="5040" w:end="0"/>
        <w:jc w:val="start"/>
        <w:rPr/>
      </w:pPr>
      <w:r>
        <w:rPr/>
        <w:t xml:space="preserve">          </w:t>
      </w:r>
      <w:r>
        <w:rPr/>
        <w:t>Delivery zone:</w:t>
        <w:tab/>
        <w:t>South 2001 Congestion Zone or, should ERCOT change the congestion zones, the zone in which the majority of the Reliant Energy HL&amp;P transmission and distribution system is located.</w:t>
      </w:r>
    </w:p>
    <w:p>
      <w:pPr>
        <w:pStyle w:val="BodyText"/>
        <w:ind w:start="3600" w:end="0"/>
        <w:rPr/>
      </w:pPr>
      <w:r>
        <w:rPr/>
      </w:r>
    </w:p>
    <w:p>
      <w:pPr>
        <w:pStyle w:val="BodyText"/>
        <w:tabs>
          <w:tab w:val="left" w:pos="0" w:leader="none"/>
          <w:tab w:val="left" w:pos="720" w:leader="none"/>
        </w:tabs>
        <w:rPr/>
      </w:pPr>
      <w:r>
        <w:rPr/>
        <w:tab/>
        <w:t>The minimum hourly amount specified above excludes the month of January 2002 due to the initial switching of PTB customers to the Reliant Energy Retail Services, LLC REP throughout the month as customer meters are read.</w:t>
      </w:r>
    </w:p>
    <w:p>
      <w:pPr>
        <w:pStyle w:val="BodyText"/>
        <w:ind w:start="3600" w:end="0"/>
        <w:rPr/>
      </w:pPr>
      <w:r>
        <w:rPr/>
        <w:tab/>
        <w:tab/>
      </w:r>
    </w:p>
    <w:p>
      <w:pPr>
        <w:pStyle w:val="BodyText"/>
        <w:jc w:val="center"/>
        <w:rPr>
          <w:b/>
          <w:sz w:val="28"/>
        </w:rPr>
      </w:pPr>
      <w:r>
        <w:rPr>
          <w:b/>
          <w:sz w:val="28"/>
        </w:rPr>
        <w:t>Commitment to Buy</w:t>
      </w:r>
    </w:p>
    <w:p>
      <w:pPr>
        <w:pStyle w:val="BodyText"/>
        <w:jc w:val="center"/>
        <w:rPr>
          <w:b/>
          <w:sz w:val="22"/>
        </w:rPr>
      </w:pPr>
      <w:r>
        <w:rPr>
          <w:b/>
          <w:sz w:val="22"/>
        </w:rPr>
      </w:r>
    </w:p>
    <w:p>
      <w:pPr>
        <w:pStyle w:val="BodyText"/>
        <w:ind w:firstLine="720" w:end="0"/>
        <w:rPr/>
      </w:pPr>
      <w:r>
        <w:rPr/>
        <w:t xml:space="preserve">RES desires to negotiate mutually acceptable agreements with eligible suppliers to purchase the supply to serve the 10PTB Load at competitive prices through the efforts of this RFP. </w:t>
      </w:r>
    </w:p>
    <w:p>
      <w:pPr>
        <w:pStyle w:val="BodyText"/>
        <w:rPr>
          <w:b/>
          <w:sz w:val="28"/>
        </w:rPr>
      </w:pPr>
      <w:r>
        <w:rPr>
          <w:b/>
          <w:sz w:val="28"/>
        </w:rPr>
      </w:r>
    </w:p>
    <w:p>
      <w:pPr>
        <w:pStyle w:val="BodyText"/>
        <w:jc w:val="center"/>
        <w:rPr>
          <w:b/>
          <w:sz w:val="28"/>
        </w:rPr>
      </w:pPr>
      <w:r>
        <w:rPr>
          <w:b/>
          <w:sz w:val="28"/>
        </w:rPr>
        <w:t>Product Description</w:t>
      </w:r>
    </w:p>
    <w:p>
      <w:pPr>
        <w:pStyle w:val="BodyText"/>
        <w:jc w:val="center"/>
        <w:rPr>
          <w:b/>
          <w:sz w:val="28"/>
        </w:rPr>
      </w:pPr>
      <w:r>
        <w:rPr>
          <w:b/>
          <w:sz w:val="28"/>
        </w:rPr>
      </w:r>
    </w:p>
    <w:p>
      <w:pPr>
        <w:pStyle w:val="BodyText"/>
        <w:ind w:firstLine="720" w:end="0"/>
        <w:rPr/>
      </w:pPr>
      <w:r>
        <w:rPr/>
        <w:t xml:space="preserve">The product described in Appendix A is a slice of the 10PTB Load because it requires the supplier to provide a pre-determined quantity of the 10PTB Load requirements in each hour of the term.  A supplier may offer less than the entire amount of the 10PTB Load, however; the quantity of energy the supplier offers shall be the same percentage of the 10PTB Load for each hour of the term.  For example, if the supplier desires to serve only 12% of the 10PTB Load, then the quantity of energy that the supplier will be responsible for scheduling will be 12% of the 10PTB Load (as provided in Appendix B) in every hour of the Contract Term rounded up to the nearest MW. </w:t>
      </w:r>
    </w:p>
    <w:p>
      <w:pPr>
        <w:pStyle w:val="BodyText"/>
        <w:ind w:firstLine="720" w:end="0"/>
        <w:rPr/>
      </w:pPr>
      <w:r>
        <w:rPr/>
        <w:t xml:space="preserve">Suppliers may or may not offer to provide the ancillary service requirement for the 10PTB Load as part of their proposal.  If the supplier chooses to offer ancillary services, the supplier must offer to provide Regulation Service Up, Regulation Service Down, Responsive Reserve Service and Non-Spinning Reserve Service in an amount which shall equal in the aggregate 10% of the maximum hourly energy amount the supplier has contracted for in each day of the contract term.  For example, if the supplier has offered to supply an hourly maximum of 170 MW in a particular day then the supplier shall make 17 MW of ancillary service capacity available for every hour of that same day. </w:t>
      </w:r>
    </w:p>
    <w:p>
      <w:pPr>
        <w:pStyle w:val="BodyText"/>
        <w:ind w:firstLine="720" w:end="0"/>
        <w:rPr/>
      </w:pPr>
      <w:r>
        <w:rPr/>
        <w:t>RES prefers proposals which include ancillary services and a monthly contract payment which shall be the product of (1) the sum over the month of the hourly energy the supplier has contracted for in MWH and (2) a fixed energy charge in $ per MWH.  RES will also consider proposals which include ancillary services and a monthly contract payment which shall be the product of (1) the sum over the month of the hourly energy the supplier has contracted for in MWH and (2) an energy price which shall be the product of (a) a heat rate in MMBtu per MWH and (b) a gas index.  Should a supplier choose to submit proposals without ancillary services, contract payment will be based in the same criteria as described above considering either a fixed energy charge in $ per MWH or an energy price based on a heat rate and gas index.</w:t>
      </w:r>
    </w:p>
    <w:p>
      <w:pPr>
        <w:pStyle w:val="Normal"/>
        <w:rPr/>
      </w:pPr>
      <w:r>
        <w:rPr/>
      </w:r>
    </w:p>
    <w:p>
      <w:pPr>
        <w:pStyle w:val="Heading2"/>
        <w:ind w:hanging="0" w:start="0"/>
        <w:jc w:val="center"/>
        <w:rPr>
          <w:b/>
          <w:sz w:val="28"/>
        </w:rPr>
      </w:pPr>
      <w:r>
        <w:rPr>
          <w:b/>
          <w:sz w:val="28"/>
        </w:rPr>
        <w:t>Scheduling of Energy and Ancillary Services</w:t>
      </w:r>
    </w:p>
    <w:p>
      <w:pPr>
        <w:pStyle w:val="Normal"/>
        <w:rPr>
          <w:b/>
          <w:sz w:val="28"/>
        </w:rPr>
      </w:pPr>
      <w:r>
        <w:rPr>
          <w:b/>
          <w:sz w:val="28"/>
        </w:rPr>
      </w:r>
    </w:p>
    <w:p>
      <w:pPr>
        <w:pStyle w:val="Normal"/>
        <w:ind w:firstLine="720" w:end="0"/>
        <w:rPr/>
      </w:pPr>
      <w:r>
        <w:rPr/>
        <w:t xml:space="preserve">Beginning January 1, 2002, the supplier shall schedule energy to RES (as the QSE) in accordance with the pre-determined quantity the supplier contracted for.   The day prior to delivery, RES shall notify the supplier of the amount of ancillary services by type that the supplier shall make available to ERCOT.  The required ancillary services are Regulation Up Service, Regulation Down Service, Responsive Reserve Service and Non-Spinning Reserve Service.  The summation in each hour of the Regulation Up Service, Responsive Reserve Service and Non-Spinning Reserve Service capacity requested from the supplier shall not exceed the pre-determined daily capacity amount the supplier has contracted for.  The Energy and ancillary services under contract shall be hourly amounts, which shall be scheduled in each ERCOT Settlement Interval by the respective QSEs in accordance with the ERCOT Protocols. </w:t>
      </w:r>
    </w:p>
    <w:p>
      <w:pPr>
        <w:pStyle w:val="Normal"/>
        <w:jc w:val="center"/>
        <w:rPr/>
      </w:pPr>
      <w:r>
        <w:rPr/>
      </w:r>
    </w:p>
    <w:p>
      <w:pPr>
        <w:pStyle w:val="Heading1"/>
        <w:ind w:hanging="0" w:start="0"/>
        <w:jc w:val="center"/>
        <w:rPr>
          <w:b/>
          <w:sz w:val="28"/>
        </w:rPr>
      </w:pPr>
      <w:r>
        <w:rPr>
          <w:b/>
          <w:sz w:val="28"/>
        </w:rPr>
        <w:t>Minimum Bid Response</w:t>
      </w:r>
    </w:p>
    <w:p>
      <w:pPr>
        <w:pStyle w:val="Normal"/>
        <w:rPr>
          <w:b/>
          <w:sz w:val="28"/>
        </w:rPr>
      </w:pPr>
      <w:r>
        <w:rPr>
          <w:b/>
          <w:sz w:val="28"/>
        </w:rPr>
      </w:r>
    </w:p>
    <w:p>
      <w:pPr>
        <w:pStyle w:val="Normal"/>
        <w:ind w:firstLine="720" w:end="0"/>
        <w:rPr/>
      </w:pPr>
      <w:r>
        <w:rPr/>
        <w:t xml:space="preserve">Suppliers may respond with any pricing proposal that will satisfy the requirements listed in Appendix A, however, preference will be given to proposals with a fixed energy price throughout the contract term.  Pricing offers using a fixed energy charge in $ per MWH will be assumed indicative of the date of the proposal and will be firmed up during negotiation.  Suppliers may respond with proposals that include or exclude ancillary services.  The minimum contract quantity requested shall be 8% of the 10PTB Load for Energy, if only Energy is supplied, and an additional 10% of the maximum daily Energy for ancillary services if ancillary services are included. </w:t>
      </w:r>
    </w:p>
    <w:p>
      <w:pPr>
        <w:pStyle w:val="Normal"/>
        <w:rPr>
          <w:sz w:val="28"/>
        </w:rPr>
      </w:pPr>
      <w:r>
        <w:rPr>
          <w:sz w:val="28"/>
        </w:rPr>
      </w:r>
    </w:p>
    <w:p>
      <w:pPr>
        <w:pStyle w:val="Heading1"/>
        <w:ind w:hanging="0" w:start="0"/>
        <w:jc w:val="center"/>
        <w:rPr>
          <w:b/>
          <w:sz w:val="28"/>
        </w:rPr>
      </w:pPr>
      <w:r>
        <w:rPr>
          <w:b/>
          <w:sz w:val="28"/>
        </w:rPr>
        <w:t>RFP Schedule</w:t>
      </w:r>
    </w:p>
    <w:p>
      <w:pPr>
        <w:pStyle w:val="Normal"/>
        <w:rPr/>
      </w:pPr>
      <w:r>
        <w:rPr/>
        <w:tab/>
      </w:r>
      <w:r>
        <w:rPr>
          <w:u w:val="single"/>
        </w:rPr>
        <w:t>Event</w:t>
      </w:r>
      <w:r>
        <w:rPr/>
        <w:tab/>
        <w:tab/>
        <w:tab/>
        <w:tab/>
        <w:tab/>
        <w:tab/>
        <w:tab/>
      </w:r>
      <w:r>
        <w:rPr>
          <w:u w:val="single"/>
        </w:rPr>
        <w:t>Date</w:t>
      </w:r>
    </w:p>
    <w:p>
      <w:pPr>
        <w:pStyle w:val="Normal"/>
        <w:rPr/>
      </w:pPr>
      <w:r>
        <w:rPr/>
        <w:tab/>
        <w:t>RFP is received by potential suppliers</w:t>
        <w:tab/>
        <w:tab/>
        <w:t>August 24, 2001</w:t>
      </w:r>
    </w:p>
    <w:p>
      <w:pPr>
        <w:pStyle w:val="Normal"/>
        <w:rPr/>
      </w:pPr>
      <w:r>
        <w:rPr/>
        <w:tab/>
        <w:t>Pre-proposal conference (10:30 a.m. CPT)</w:t>
        <w:tab/>
        <w:tab/>
        <w:t>August 30, 2001</w:t>
      </w:r>
    </w:p>
    <w:p>
      <w:pPr>
        <w:pStyle w:val="Normal"/>
        <w:rPr/>
      </w:pPr>
      <w:r>
        <w:rPr/>
        <w:tab/>
        <w:t>Request for Information deadline (5 p.m. CPT)</w:t>
        <w:tab/>
        <w:t>September 14, 2001</w:t>
      </w:r>
    </w:p>
    <w:p>
      <w:pPr>
        <w:pStyle w:val="Normal"/>
        <w:ind w:firstLine="720" w:end="0"/>
        <w:rPr/>
      </w:pPr>
      <w:r>
        <w:rPr/>
        <w:t>Proposals are due to NCI (2 p.m. CPT)</w:t>
        <w:tab/>
        <w:tab/>
        <w:t>September 20, 2001</w:t>
      </w:r>
    </w:p>
    <w:p>
      <w:pPr>
        <w:pStyle w:val="Normal"/>
        <w:ind w:firstLine="720" w:end="0"/>
        <w:rPr/>
      </w:pPr>
      <w:r>
        <w:rPr/>
        <w:t>Proposals are clarified</w:t>
        <w:tab/>
        <w:tab/>
        <w:tab/>
        <w:tab/>
        <w:tab/>
        <w:t>September 27, 2001</w:t>
      </w:r>
    </w:p>
    <w:p>
      <w:pPr>
        <w:pStyle w:val="Normal"/>
        <w:ind w:firstLine="720" w:end="0"/>
        <w:rPr/>
      </w:pPr>
      <w:r>
        <w:rPr/>
        <w:t>Supplier(s) selected</w:t>
        <w:tab/>
        <w:tab/>
        <w:tab/>
        <w:tab/>
        <w:tab/>
        <w:t>September 28, 2001</w:t>
      </w:r>
    </w:p>
    <w:p>
      <w:pPr>
        <w:pStyle w:val="Normal"/>
        <w:ind w:firstLine="720" w:end="0"/>
        <w:rPr/>
      </w:pPr>
      <w:r>
        <w:rPr/>
        <w:t>Supplier(s) update price and hold firm</w:t>
        <w:tab/>
        <w:tab/>
        <w:t>October 10, 2001</w:t>
      </w:r>
    </w:p>
    <w:p>
      <w:pPr>
        <w:pStyle w:val="Normal"/>
        <w:ind w:start="720" w:end="0"/>
        <w:rPr/>
      </w:pPr>
      <w:r>
        <w:rPr/>
        <w:t>Contract negotiations and execution complete</w:t>
        <w:tab/>
        <w:t>October 15, 2001</w:t>
      </w:r>
    </w:p>
    <w:p>
      <w:pPr>
        <w:pStyle w:val="Normal"/>
        <w:ind w:start="720" w:end="0"/>
        <w:rPr/>
      </w:pPr>
      <w:r>
        <w:rPr/>
        <w:t>Commencement of power delivery</w:t>
        <w:tab/>
        <w:tab/>
        <w:tab/>
        <w:t>January 1, 2002</w:t>
      </w:r>
    </w:p>
    <w:p>
      <w:pPr>
        <w:pStyle w:val="Normal"/>
        <w:ind w:start="720" w:end="0"/>
        <w:rPr/>
      </w:pPr>
      <w:r>
        <w:rPr/>
      </w:r>
    </w:p>
    <w:p>
      <w:pPr>
        <w:pStyle w:val="Heading1"/>
        <w:ind w:hanging="0" w:start="0"/>
        <w:jc w:val="center"/>
        <w:rPr>
          <w:b/>
          <w:sz w:val="28"/>
        </w:rPr>
      </w:pPr>
      <w:r>
        <w:rPr>
          <w:b/>
          <w:sz w:val="28"/>
        </w:rPr>
        <w:t>Pre-Proposal Conference</w:t>
      </w:r>
    </w:p>
    <w:p>
      <w:pPr>
        <w:pStyle w:val="Normal"/>
        <w:rPr>
          <w:b/>
          <w:sz w:val="28"/>
        </w:rPr>
      </w:pPr>
      <w:r>
        <w:rPr>
          <w:b/>
          <w:sz w:val="28"/>
        </w:rPr>
      </w:r>
    </w:p>
    <w:p>
      <w:pPr>
        <w:pStyle w:val="Normal"/>
        <w:rPr/>
      </w:pPr>
      <w:r>
        <w:rPr/>
        <w:tab/>
        <w:t xml:space="preserve">A pre-proposal conference is scheduled to be held at the Reliant Energy Plaza located at 1111 Louisiana in downtown Houston on August 30, 2001 from 10:30 a.m. to 12:30 p.m.  Lunch will be provided.  Please RSVP to Nicole Brady at </w:t>
      </w:r>
      <w:hyperlink r:id="rId4">
        <w:r>
          <w:rPr>
            <w:rStyle w:val="Hyperlink"/>
          </w:rPr>
          <w:t>nbrady@navigantconsulting.com</w:t>
        </w:r>
      </w:hyperlink>
      <w:r>
        <w:rPr/>
        <w:t xml:space="preserve"> by August 29, 2001 at 3 p.m.  Potential suppliers wishing to attend should check in with the Reliant security desk and specify the Pre-Proposal conference as the purpose of their visit. </w:t>
      </w:r>
    </w:p>
    <w:p>
      <w:pPr>
        <w:pStyle w:val="Normal"/>
        <w:rPr/>
      </w:pPr>
      <w:r>
        <w:rPr/>
      </w:r>
    </w:p>
    <w:p>
      <w:pPr>
        <w:pStyle w:val="Heading5"/>
        <w:ind w:hanging="0" w:start="0"/>
        <w:jc w:val="center"/>
        <w:rPr/>
      </w:pPr>
      <w:r>
        <w:rPr/>
        <w:t>Requests for Information</w:t>
      </w:r>
    </w:p>
    <w:p>
      <w:pPr>
        <w:pStyle w:val="Normal"/>
        <w:rPr/>
      </w:pPr>
      <w:r>
        <w:rPr/>
      </w:r>
    </w:p>
    <w:p>
      <w:pPr>
        <w:pStyle w:val="Normal"/>
        <w:rPr/>
      </w:pPr>
      <w:r>
        <w:rPr/>
        <w:tab/>
        <w:t>Navigant Consulting Inc. (NCI) will provide responses to written requests for information (RFI) that supplement information contained in this RFP to facilitate development of a viable proposal.  All RFIs must be in writing (please no phone calls) and faxed or emailed to:</w:t>
      </w:r>
    </w:p>
    <w:p>
      <w:pPr>
        <w:pStyle w:val="Normal"/>
        <w:rPr/>
      </w:pPr>
      <w:r>
        <w:rPr/>
      </w:r>
    </w:p>
    <w:p>
      <w:pPr>
        <w:pStyle w:val="Normal"/>
        <w:jc w:val="center"/>
        <w:rPr/>
      </w:pPr>
      <w:r>
        <w:rPr/>
        <w:t>Nicole Brady</w:t>
      </w:r>
    </w:p>
    <w:p>
      <w:pPr>
        <w:pStyle w:val="Normal"/>
        <w:jc w:val="center"/>
        <w:rPr/>
      </w:pPr>
      <w:r>
        <w:rPr/>
        <w:t>Fax:  512-345-6534</w:t>
      </w:r>
    </w:p>
    <w:p>
      <w:pPr>
        <w:pStyle w:val="Normal"/>
        <w:jc w:val="center"/>
        <w:rPr/>
      </w:pPr>
      <w:r>
        <w:rPr/>
        <w:t xml:space="preserve">Email:  </w:t>
      </w:r>
      <w:hyperlink r:id="rId5">
        <w:r>
          <w:rPr>
            <w:rStyle w:val="Hyperlink"/>
          </w:rPr>
          <w:t>Nbrady@navigantconsulting.com</w:t>
        </w:r>
      </w:hyperlink>
    </w:p>
    <w:p>
      <w:pPr>
        <w:pStyle w:val="Normal"/>
        <w:rPr/>
      </w:pPr>
      <w:r>
        <w:rPr/>
      </w:r>
    </w:p>
    <w:p>
      <w:pPr>
        <w:pStyle w:val="Normal"/>
        <w:rPr/>
      </w:pPr>
      <w:r>
        <w:rPr/>
        <w:tab/>
        <w:t>Responses to all requests will be made within three (3) working days to the extent possible.  All requests for additional information must be received by 5:00 p.m. Central Prevailing Time (CPT) on Friday, September 14, 2001.  Any requests received after that date and time will not receive a response.</w:t>
      </w:r>
    </w:p>
    <w:p>
      <w:pPr>
        <w:pStyle w:val="Normal"/>
        <w:rPr/>
      </w:pPr>
      <w:r>
        <w:rPr/>
      </w:r>
    </w:p>
    <w:p>
      <w:pPr>
        <w:pStyle w:val="Heading1"/>
        <w:ind w:hanging="0" w:start="0"/>
        <w:jc w:val="center"/>
        <w:rPr>
          <w:b/>
        </w:rPr>
      </w:pPr>
      <w:r>
        <w:rPr>
          <w:b/>
        </w:rPr>
        <w:t>Responses Due</w:t>
      </w:r>
    </w:p>
    <w:p>
      <w:pPr>
        <w:pStyle w:val="Normal"/>
        <w:rPr>
          <w:b/>
        </w:rPr>
      </w:pPr>
      <w:r>
        <w:rPr>
          <w:b/>
        </w:rPr>
      </w:r>
    </w:p>
    <w:p>
      <w:pPr>
        <w:pStyle w:val="Heading1"/>
        <w:ind w:hanging="0" w:start="0"/>
        <w:rPr/>
      </w:pPr>
      <w:r>
        <w:rPr>
          <w:b/>
        </w:rPr>
        <w:tab/>
      </w:r>
      <w:r>
        <w:rPr>
          <w:sz w:val="24"/>
        </w:rPr>
        <w:t>Responses to this RFP are due to NCI by 2:00 p.m. on September 20, 2001.  Proposals should be emailed, faxed or mailed to the following:</w:t>
      </w:r>
    </w:p>
    <w:p>
      <w:pPr>
        <w:pStyle w:val="Normal"/>
        <w:rPr>
          <w:sz w:val="24"/>
        </w:rPr>
      </w:pPr>
      <w:r>
        <w:rPr>
          <w:sz w:val="24"/>
        </w:rPr>
      </w:r>
    </w:p>
    <w:p>
      <w:pPr>
        <w:pStyle w:val="Normal"/>
        <w:rPr/>
      </w:pPr>
      <w:r>
        <w:rPr/>
      </w:r>
    </w:p>
    <w:p>
      <w:pPr>
        <w:pStyle w:val="Normal"/>
        <w:jc w:val="center"/>
        <w:rPr/>
      </w:pPr>
      <w:r>
        <w:rPr/>
        <w:t>Nicole Brady</w:t>
      </w:r>
    </w:p>
    <w:p>
      <w:pPr>
        <w:pStyle w:val="Normal"/>
        <w:jc w:val="center"/>
        <w:rPr/>
      </w:pPr>
      <w:r>
        <w:rPr/>
        <w:t>8310 Capital of Texas Highway North</w:t>
      </w:r>
    </w:p>
    <w:p>
      <w:pPr>
        <w:pStyle w:val="Normal"/>
        <w:jc w:val="center"/>
        <w:rPr/>
      </w:pPr>
      <w:r>
        <w:rPr/>
        <w:t>Suit 385</w:t>
      </w:r>
    </w:p>
    <w:p>
      <w:pPr>
        <w:pStyle w:val="Normal"/>
        <w:jc w:val="center"/>
        <w:rPr/>
      </w:pPr>
      <w:r>
        <w:rPr/>
        <w:t>Austin, TX 78731-1026</w:t>
      </w:r>
    </w:p>
    <w:p>
      <w:pPr>
        <w:pStyle w:val="Normal"/>
        <w:jc w:val="center"/>
        <w:rPr/>
      </w:pPr>
      <w:r>
        <w:rPr/>
        <w:t>Fax:  512-345-6534</w:t>
      </w:r>
    </w:p>
    <w:p>
      <w:pPr>
        <w:pStyle w:val="Normal"/>
        <w:jc w:val="center"/>
        <w:rPr/>
      </w:pPr>
      <w:r>
        <w:rPr/>
        <w:t xml:space="preserve">Email:  </w:t>
      </w:r>
      <w:hyperlink r:id="rId6">
        <w:r>
          <w:rPr>
            <w:rStyle w:val="Hyperlink"/>
          </w:rPr>
          <w:t>Nbrady@navigantconsulting.com</w:t>
        </w:r>
      </w:hyperlink>
    </w:p>
    <w:p>
      <w:pPr>
        <w:pStyle w:val="Normal"/>
        <w:jc w:val="center"/>
        <w:rPr/>
      </w:pPr>
      <w:r>
        <w:rPr/>
      </w:r>
    </w:p>
    <w:p>
      <w:pPr>
        <w:pStyle w:val="Normal"/>
        <w:rPr/>
      </w:pPr>
      <w:r>
        <w:rPr/>
      </w:r>
    </w:p>
    <w:p>
      <w:pPr>
        <w:pStyle w:val="Heading1"/>
        <w:ind w:hanging="0" w:start="0"/>
        <w:rPr/>
      </w:pPr>
      <w:r>
        <w:rPr/>
      </w:r>
    </w:p>
    <w:p>
      <w:pPr>
        <w:pStyle w:val="Normal"/>
        <w:jc w:val="center"/>
        <w:rPr>
          <w:b/>
        </w:rPr>
      </w:pPr>
      <w:r>
        <w:rPr>
          <w:b/>
        </w:rPr>
      </w:r>
    </w:p>
    <w:sectPr>
      <w:type w:val="continuous"/>
      <w:pgSz w:w="12240" w:h="15840"/>
      <w:pgMar w:left="1800" w:right="1800"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5</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pacing w:val="-5"/>
      </w:rPr>
    </w:pPr>
    <w:r>
      <w:rPr>
        <w:rFonts w:cs="Arial" w:ascii="Arial" w:hAnsi="Arial"/>
        <w:spacing w:val="-5"/>
      </w:rPr>
    </w:r>
  </w:p>
  <w:p>
    <w:pPr>
      <w:pStyle w:val="Header"/>
      <w:rPr>
        <w:rFonts w:ascii="Arial" w:hAnsi="Arial" w:cs="Arial"/>
        <w:spacing w:val="-5"/>
      </w:rPr>
    </w:pPr>
    <w:r>
      <w:rPr>
        <w:rFonts w:cs="Arial" w:ascii="Arial" w:hAnsi="Arial"/>
        <w:spacing w:val="-5"/>
      </w:rPr>
      <w:drawing>
        <wp:inline distT="0" distB="0" distL="0" distR="0">
          <wp:extent cx="761365" cy="3733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3" t="-25" r="-13" b="-25"/>
                  <a:stretch>
                    <a:fillRect/>
                  </a:stretch>
                </pic:blipFill>
                <pic:spPr bwMode="auto">
                  <a:xfrm>
                    <a:off x="0" y="0"/>
                    <a:ext cx="761365" cy="373380"/>
                  </a:xfrm>
                  <a:prstGeom prst="rect">
                    <a:avLst/>
                  </a:prstGeom>
                  <a:noFill/>
                </pic:spPr>
              </pic:pic>
            </a:graphicData>
          </a:graphic>
        </wp:inline>
      </w:drawing>
    </w:r>
  </w:p>
  <w:p>
    <w:pPr>
      <w:pStyle w:val="Header"/>
      <w:rPr>
        <w:rFonts w:ascii="Arial" w:hAnsi="Arial" w:cs="Arial"/>
        <w:spacing w:val="-5"/>
      </w:rPr>
    </w:pPr>
    <w:r>
      <w:rPr>
        <w:rFonts w:cs="Arial" w:ascii="Arial" w:hAnsi="Arial"/>
        <w:spacing w:val="-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sz w:val="28"/>
    </w:rPr>
  </w:style>
  <w:style w:type="paragraph" w:styleId="Heading5">
    <w:name w:val="heading 5"/>
    <w:basedOn w:val="Normal"/>
    <w:next w:val="Normal"/>
    <w:qFormat/>
    <w:pPr>
      <w:keepNext w:val="true"/>
      <w:numPr>
        <w:ilvl w:val="4"/>
        <w:numId w:val="1"/>
      </w:numPr>
      <w:outlineLvl w:val="4"/>
    </w:pPr>
    <w:rPr>
      <w:b/>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440" w:start="144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nbrady@navigantconsulting.com" TargetMode="External"/><Relationship Id="rId5" Type="http://schemas.openxmlformats.org/officeDocument/2006/relationships/hyperlink" Target="mailto:Nbrady@navigantconsulting.com" TargetMode="External"/><Relationship Id="rId6" Type="http://schemas.openxmlformats.org/officeDocument/2006/relationships/hyperlink" Target="mailto:Nbrady@navigantconsulting.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2001-08-23T17:45:00Z</dcterms:created>
  <dc:creator>Neil McAndrews</dc:creator>
  <dc:description/>
  <dc:language>en-CA</dc:language>
  <cp:lastModifiedBy>Nicole Brady</cp:lastModifiedBy>
  <cp:lastPrinted>2001-08-23T15:03:00Z</cp:lastPrinted>
  <dcterms:modified xsi:type="dcterms:W3CDTF">2001-08-23T17:45:00Z</dcterms:modified>
  <cp:revision>2</cp:revision>
  <dc:subject/>
  <dc:title>Description of Price Select Group</dc:title>
</cp:coreProperties>
</file>