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rFonts w:ascii="Frutiger 55 Roman" w:hAnsi="Frutiger 55 Roman" w:cs="Frutiger 55 Roman"/>
        </w:rPr>
      </w:pPr>
      <w:r>
        <w:rPr>
          <w:rFonts w:cs="Frutiger 55 Roman" w:ascii="Frutiger 55 Roman" w:hAnsi="Frutiger 55 Roman"/>
          <w:sz w:val="32"/>
        </w:rPr>
        <w:t>U.S. Energy Policy at a Crossroad: Alternative Futures for the Current “Energy Crisis”</w:t>
      </w:r>
    </w:p>
    <w:p>
      <w:pPr>
        <w:pStyle w:val="Normal"/>
        <w:autoSpaceDE w:val="false"/>
        <w:jc w:val="center"/>
        <w:rPr>
          <w:rFonts w:ascii="Frutiger 55 Roman" w:hAnsi="Frutiger 55 Roman" w:cs="Frutiger 55 Roman"/>
          <w:b/>
          <w:bCs/>
          <w:smallCaps/>
        </w:rPr>
      </w:pPr>
      <w:r>
        <w:rPr>
          <w:rFonts w:cs="Frutiger 55 Roman" w:ascii="Frutiger 55 Roman" w:hAnsi="Frutiger 55 Roman"/>
          <w:b/>
          <w:bCs/>
          <w:smallCaps/>
        </w:rPr>
      </w:r>
    </w:p>
    <w:p>
      <w:pPr>
        <w:pStyle w:val="Normal"/>
        <w:autoSpaceDE w:val="false"/>
        <w:jc w:val="center"/>
        <w:rPr>
          <w:rFonts w:ascii="Frutiger 55 Roman" w:hAnsi="Frutiger 55 Roman" w:cs="Frutiger 55 Roman"/>
          <w:b/>
          <w:bCs/>
          <w:smallCaps/>
        </w:rPr>
      </w:pPr>
      <w:r>
        <w:rPr>
          <w:rFonts w:cs="Frutiger 55 Roman" w:ascii="Frutiger 55 Roman" w:hAnsi="Frutiger 55 Roman"/>
          <w:b/>
          <w:bCs/>
          <w:smallCaps/>
        </w:rPr>
        <w:t>presented by Enron in partnership with intellibridge Corporation</w:t>
      </w:r>
    </w:p>
    <w:p>
      <w:pPr>
        <w:pStyle w:val="Normal"/>
        <w:autoSpaceDE w:val="false"/>
        <w:jc w:val="center"/>
        <w:rPr>
          <w:rFonts w:ascii="Frutiger 55 Roman" w:hAnsi="Frutiger 55 Roman" w:cs="Frutiger 55 Roman"/>
          <w:b/>
          <w:bCs/>
          <w:smallCaps/>
        </w:rPr>
      </w:pPr>
      <w:r>
        <w:rPr>
          <w:rFonts w:cs="Frutiger 55 Roman" w:ascii="Frutiger 55 Roman" w:hAnsi="Frutiger 55 Roman"/>
          <w:b/>
          <w:bCs/>
          <w:smallCaps/>
        </w:rPr>
      </w:r>
    </w:p>
    <w:p>
      <w:pPr>
        <w:pStyle w:val="Heading3"/>
        <w:ind w:hanging="0" w:start="0"/>
        <w:rPr>
          <w:rFonts w:ascii="Frutiger 55 Roman" w:hAnsi="Frutiger 55 Roman" w:cs="Frutiger 55 Roman"/>
          <w:sz w:val="26"/>
        </w:rPr>
      </w:pPr>
      <w:r>
        <w:rPr>
          <w:rFonts w:cs="Frutiger 55 Roman" w:ascii="Frutiger 55 Roman" w:hAnsi="Frutiger 55 Roman"/>
          <w:sz w:val="26"/>
        </w:rPr>
        <w:t>October 3-4, 2001</w:t>
      </w:r>
    </w:p>
    <w:p>
      <w:pPr>
        <w:pStyle w:val="Heading3"/>
        <w:ind w:hanging="0" w:start="0"/>
        <w:rPr>
          <w:rFonts w:ascii="Palatino Linotype" w:hAnsi="Palatino Linotype" w:cs="Palatino Linotype"/>
        </w:rPr>
      </w:pPr>
      <w:r>
        <w:rPr>
          <w:rFonts w:cs="Frutiger 55 Roman" w:ascii="Frutiger 55 Roman" w:hAnsi="Frutiger 55 Roman"/>
          <w:sz w:val="26"/>
        </w:rPr>
        <w:t>The Ritz-Carlton Hotel, Pentagon City, Arlington, VA</w:t>
      </w:r>
    </w:p>
    <w:p>
      <w:pPr>
        <w:pStyle w:val="Normal"/>
        <w:tabs>
          <w:tab w:val="clear" w:pos="720"/>
          <w:tab w:val="left" w:pos="9900" w:leader="none"/>
        </w:tabs>
        <w:autoSpaceDE w:val="false"/>
        <w:rPr>
          <w:rFonts w:ascii="Palatino Linotype" w:hAnsi="Palatino Linotype" w:cs="Palatino Linotype"/>
          <w:u w:val="single"/>
        </w:rPr>
      </w:pPr>
      <w:r>
        <w:rPr>
          <w:rFonts w:cs="Palatino Linotype" w:ascii="Palatino Linotype" w:hAnsi="Palatino Linotype"/>
          <w:u w:val="single"/>
        </w:rPr>
        <w:tab/>
      </w:r>
    </w:p>
    <w:p>
      <w:pPr>
        <w:pStyle w:val="Normal"/>
        <w:autoSpaceDE w:val="false"/>
        <w:jc w:val="both"/>
        <w:rPr>
          <w:rFonts w:ascii="Palatino Linotype" w:hAnsi="Palatino Linotype" w:cs="Palatino Linotype"/>
          <w:b/>
          <w:bCs/>
          <w:smallCaps/>
          <w:u w:val="single"/>
        </w:rPr>
      </w:pPr>
      <w:r>
        <w:rPr>
          <w:rFonts w:cs="Palatino Linotype" w:ascii="Palatino Linotype" w:hAnsi="Palatino Linotype"/>
          <w:b/>
          <w:bCs/>
          <w:smallCaps/>
          <w:u w:val="single"/>
        </w:rPr>
      </w:r>
    </w:p>
    <w:p>
      <w:pPr>
        <w:pStyle w:val="Heading4"/>
        <w:autoSpaceDE w:val="false"/>
        <w:spacing w:before="0" w:after="0"/>
        <w:ind w:hanging="0" w:start="0"/>
        <w:rPr>
          <w:rFonts w:ascii="Frutiger 55 Roman" w:hAnsi="Frutiger 55 Roman" w:cs="Frutiger 55 Roman"/>
          <w:bCs/>
          <w:smallCaps/>
          <w:szCs w:val="24"/>
        </w:rPr>
      </w:pPr>
      <w:r>
        <w:rPr>
          <w:rFonts w:cs="Frutiger 55 Roman" w:ascii="Frutiger 55 Roman" w:hAnsi="Frutiger 55 Roman"/>
          <w:bCs/>
          <w:smallCaps/>
          <w:szCs w:val="24"/>
        </w:rPr>
        <w:t>Wednesday, October 3</w:t>
      </w:r>
    </w:p>
    <w:p>
      <w:pPr>
        <w:pStyle w:val="Normal"/>
        <w:autoSpaceDE w:val="false"/>
        <w:rPr>
          <w:rFonts w:ascii="Palatino Linotype" w:hAnsi="Palatino Linotype" w:cs="Palatino Linotype"/>
          <w:b/>
          <w:bCs/>
          <w:smallCaps/>
          <w:sz w:val="22"/>
          <w:szCs w:val="24"/>
        </w:rPr>
      </w:pPr>
      <w:r>
        <w:rPr>
          <w:rFonts w:cs="Palatino Linotype" w:ascii="Palatino Linotype" w:hAnsi="Palatino Linotype"/>
          <w:b/>
          <w:bCs/>
          <w:smallCaps/>
          <w:sz w:val="22"/>
          <w:szCs w:val="24"/>
        </w:rPr>
      </w:r>
    </w:p>
    <w:p>
      <w:pPr>
        <w:pStyle w:val="Normal"/>
        <w:autoSpaceDE w:val="false"/>
        <w:rPr>
          <w:rFonts w:ascii="Palatino Linotype" w:hAnsi="Palatino Linotype" w:cs="Palatino Linotype"/>
          <w:b/>
          <w:bCs/>
          <w:sz w:val="22"/>
        </w:rPr>
      </w:pPr>
      <w:r>
        <w:rPr>
          <w:rFonts w:cs="Palatino Linotype" w:ascii="Palatino Linotype" w:hAnsi="Palatino Linotype"/>
          <w:b/>
          <w:bCs/>
          <w:sz w:val="22"/>
        </w:rPr>
        <w:t>5:30-7:00 p.m.</w:t>
        <w:tab/>
        <w:tab/>
        <w:t>Cocktail Reception and Registration for Delegates</w:t>
      </w:r>
    </w:p>
    <w:p>
      <w:pPr>
        <w:pStyle w:val="Normal"/>
        <w:autoSpaceDE w:val="false"/>
        <w:rPr>
          <w:rFonts w:ascii="Palatino Linotype" w:hAnsi="Palatino Linotype" w:cs="Palatino Linotype"/>
          <w:b/>
          <w:bCs/>
          <w:sz w:val="22"/>
        </w:rPr>
      </w:pPr>
      <w:r>
        <w:rPr>
          <w:rFonts w:cs="Palatino Linotype" w:ascii="Palatino Linotype" w:hAnsi="Palatino Linotype"/>
          <w:b/>
          <w:bCs/>
          <w:sz w:val="22"/>
        </w:rPr>
      </w:r>
    </w:p>
    <w:p>
      <w:pPr>
        <w:pStyle w:val="Normal"/>
        <w:autoSpaceDE w:val="false"/>
        <w:ind w:hanging="2160" w:start="2160" w:end="0"/>
        <w:rPr/>
      </w:pPr>
      <w:r>
        <w:rPr>
          <w:rFonts w:cs="Palatino Linotype" w:ascii="Palatino Linotype" w:hAnsi="Palatino Linotype"/>
          <w:b/>
          <w:bCs/>
          <w:sz w:val="22"/>
        </w:rPr>
        <w:t>7:00-9:00 p.m.</w:t>
      </w:r>
      <w:r>
        <w:rPr>
          <w:rFonts w:cs="Palatino Linotype" w:ascii="Palatino Linotype" w:hAnsi="Palatino Linotype"/>
          <w:sz w:val="22"/>
        </w:rPr>
        <w:tab/>
      </w:r>
      <w:r>
        <w:rPr>
          <w:rFonts w:cs="Palatino Linotype" w:ascii="Palatino Linotype" w:hAnsi="Palatino Linotype"/>
          <w:b/>
          <w:bCs/>
          <w:sz w:val="22"/>
        </w:rPr>
        <w:t xml:space="preserve">“Differing Visions of America’s Energy Future” </w:t>
      </w:r>
    </w:p>
    <w:p>
      <w:pPr>
        <w:pStyle w:val="Normal"/>
        <w:autoSpaceDE w:val="false"/>
        <w:ind w:start="2160" w:end="0"/>
        <w:rPr/>
      </w:pPr>
      <w:r>
        <w:rPr>
          <w:rFonts w:cs="Palatino Linotype" w:ascii="Palatino Linotype" w:hAnsi="Palatino Linotype"/>
          <w:sz w:val="22"/>
        </w:rPr>
        <w:t>A keynote address followed by a dinner conversation with a panel of leading policy makers:</w:t>
      </w:r>
      <w:r>
        <w:rPr>
          <w:rFonts w:cs="Palatino Linotype" w:ascii="Palatino Linotype" w:hAnsi="Palatino Linotype"/>
          <w:b/>
          <w:bCs/>
          <w:sz w:val="22"/>
        </w:rPr>
        <w:t xml:space="preserve"> </w:t>
      </w:r>
    </w:p>
    <w:p>
      <w:pPr>
        <w:pStyle w:val="Normal"/>
        <w:autoSpaceDE w:val="false"/>
        <w:ind w:start="2160" w:end="0"/>
        <w:rPr>
          <w:rFonts w:ascii="Palatino Linotype" w:hAnsi="Palatino Linotype" w:cs="Palatino Linotype"/>
          <w:b/>
          <w:bCs/>
          <w:sz w:val="22"/>
        </w:rPr>
      </w:pPr>
      <w:r>
        <w:rPr>
          <w:rFonts w:cs="Palatino Linotype" w:ascii="Palatino Linotype" w:hAnsi="Palatino Linotype"/>
          <w:b/>
          <w:bCs/>
          <w:sz w:val="22"/>
        </w:rPr>
      </w:r>
    </w:p>
    <w:p>
      <w:pPr>
        <w:pStyle w:val="Normal"/>
        <w:numPr>
          <w:ilvl w:val="0"/>
          <w:numId w:val="2"/>
        </w:numPr>
        <w:rPr>
          <w:rFonts w:ascii="Palatino Linotype" w:hAnsi="Palatino Linotype" w:cs="Palatino Linotype"/>
          <w:sz w:val="22"/>
        </w:rPr>
      </w:pPr>
      <w:r>
        <w:rPr>
          <w:rFonts w:cs="Palatino Linotype" w:ascii="Palatino Linotype" w:hAnsi="Palatino Linotype"/>
          <w:sz w:val="22"/>
        </w:rPr>
        <w:t>Richard B. Cheney, Vice President of the United States</w:t>
      </w:r>
    </w:p>
    <w:p>
      <w:pPr>
        <w:pStyle w:val="Normal"/>
        <w:numPr>
          <w:ilvl w:val="0"/>
          <w:numId w:val="2"/>
        </w:numPr>
        <w:rPr>
          <w:rFonts w:ascii="Palatino Linotype" w:hAnsi="Palatino Linotype" w:cs="Palatino Linotype"/>
          <w:sz w:val="22"/>
        </w:rPr>
      </w:pPr>
      <w:r>
        <w:rPr>
          <w:rFonts w:cs="Palatino Linotype" w:ascii="Palatino Linotype" w:hAnsi="Palatino Linotype"/>
          <w:sz w:val="22"/>
        </w:rPr>
        <w:t>Spencer Abraham, Secretary, Department of Energy</w:t>
      </w:r>
    </w:p>
    <w:p>
      <w:pPr>
        <w:pStyle w:val="Normal"/>
        <w:numPr>
          <w:ilvl w:val="0"/>
          <w:numId w:val="2"/>
        </w:numPr>
        <w:rPr>
          <w:rFonts w:ascii="Palatino Linotype" w:hAnsi="Palatino Linotype" w:cs="Palatino Linotype"/>
          <w:sz w:val="22"/>
        </w:rPr>
      </w:pPr>
      <w:r>
        <w:rPr>
          <w:rFonts w:cs="Palatino Linotype" w:ascii="Palatino Linotype" w:hAnsi="Palatino Linotype"/>
          <w:sz w:val="22"/>
        </w:rPr>
        <w:t>Jeffrey K. Skilling, President &amp; CEO, Enron Corp.*</w:t>
      </w:r>
    </w:p>
    <w:p>
      <w:pPr>
        <w:pStyle w:val="Normal"/>
        <w:numPr>
          <w:ilvl w:val="0"/>
          <w:numId w:val="2"/>
        </w:numPr>
        <w:rPr>
          <w:rFonts w:ascii="Palatino Linotype" w:hAnsi="Palatino Linotype" w:cs="Palatino Linotype"/>
          <w:sz w:val="22"/>
        </w:rPr>
      </w:pPr>
      <w:r>
        <w:rPr>
          <w:rFonts w:cs="Palatino Linotype" w:ascii="Palatino Linotype" w:hAnsi="Palatino Linotype"/>
          <w:sz w:val="22"/>
        </w:rPr>
        <w:t>Bill Richardson, Former Secretary, Department of Energy</w:t>
      </w:r>
    </w:p>
    <w:p>
      <w:pPr>
        <w:pStyle w:val="Normal"/>
        <w:numPr>
          <w:ilvl w:val="0"/>
          <w:numId w:val="2"/>
        </w:numPr>
        <w:rPr>
          <w:rFonts w:ascii="Palatino Linotype" w:hAnsi="Palatino Linotype" w:cs="Palatino Linotype"/>
          <w:sz w:val="22"/>
        </w:rPr>
      </w:pPr>
      <w:r>
        <w:rPr>
          <w:rFonts w:cs="Palatino Linotype" w:ascii="Palatino Linotype" w:hAnsi="Palatino Linotype"/>
          <w:sz w:val="22"/>
        </w:rPr>
        <w:t>Gray Davis, Governor, California</w:t>
      </w:r>
    </w:p>
    <w:p>
      <w:pPr>
        <w:pStyle w:val="Normal"/>
        <w:numPr>
          <w:ilvl w:val="0"/>
          <w:numId w:val="2"/>
        </w:numPr>
        <w:rPr>
          <w:rFonts w:ascii="Palatino Linotype" w:hAnsi="Palatino Linotype" w:cs="Palatino Linotype"/>
          <w:i/>
          <w:i/>
          <w:iCs/>
          <w:sz w:val="22"/>
        </w:rPr>
      </w:pPr>
      <w:r>
        <w:rPr>
          <w:rFonts w:cs="Palatino Linotype" w:ascii="Palatino Linotype" w:hAnsi="Palatino Linotype"/>
          <w:sz w:val="22"/>
        </w:rPr>
        <w:t>Dianne Feinstein, California, Committee on Energy and Natural Resources</w:t>
      </w:r>
    </w:p>
    <w:p>
      <w:pPr>
        <w:pStyle w:val="Normal"/>
        <w:tabs>
          <w:tab w:val="clear" w:pos="720"/>
          <w:tab w:val="left" w:pos="360" w:leader="none"/>
        </w:tabs>
        <w:autoSpaceDE w:val="false"/>
        <w:rPr>
          <w:rFonts w:ascii="Palatino Linotype" w:hAnsi="Palatino Linotype" w:cs="Palatino Linotype"/>
          <w:i/>
          <w:i/>
          <w:iCs/>
          <w:sz w:val="22"/>
        </w:rPr>
      </w:pPr>
      <w:r>
        <w:rPr>
          <w:rFonts w:cs="Palatino Linotype" w:ascii="Palatino Linotype" w:hAnsi="Palatino Linotype"/>
          <w:i/>
          <w:iCs/>
          <w:sz w:val="22"/>
        </w:rPr>
      </w:r>
    </w:p>
    <w:p>
      <w:pPr>
        <w:pStyle w:val="Heading4"/>
        <w:tabs>
          <w:tab w:val="clear" w:pos="720"/>
          <w:tab w:val="left" w:pos="360" w:leader="none"/>
        </w:tabs>
        <w:autoSpaceDE w:val="false"/>
        <w:spacing w:before="0" w:after="0"/>
        <w:ind w:hanging="0" w:start="0"/>
        <w:rPr>
          <w:rFonts w:ascii="Frutiger 55 Roman" w:hAnsi="Frutiger 55 Roman" w:cs="Frutiger 55 Roman"/>
          <w:bCs/>
          <w:i/>
          <w:i/>
          <w:iCs/>
          <w:smallCaps/>
          <w:szCs w:val="24"/>
        </w:rPr>
      </w:pPr>
      <w:r>
        <w:rPr>
          <w:rFonts w:cs="Frutiger 55 Roman" w:ascii="Frutiger 55 Roman" w:hAnsi="Frutiger 55 Roman"/>
          <w:bCs/>
          <w:smallCaps/>
          <w:szCs w:val="24"/>
        </w:rPr>
        <w:t>Thursday, October 4</w:t>
      </w:r>
    </w:p>
    <w:p>
      <w:pPr>
        <w:pStyle w:val="Normal"/>
        <w:tabs>
          <w:tab w:val="clear" w:pos="720"/>
          <w:tab w:val="left" w:pos="360" w:leader="none"/>
        </w:tabs>
        <w:autoSpaceDE w:val="false"/>
        <w:rPr>
          <w:rFonts w:ascii="Palatino Linotype" w:hAnsi="Palatino Linotype" w:cs="Palatino Linotype"/>
          <w:bCs/>
          <w:i/>
          <w:i/>
          <w:iCs/>
          <w:smallCaps/>
          <w:sz w:val="22"/>
          <w:szCs w:val="24"/>
        </w:rPr>
      </w:pPr>
      <w:r>
        <w:rPr>
          <w:rFonts w:cs="Palatino Linotype" w:ascii="Palatino Linotype" w:hAnsi="Palatino Linotype"/>
          <w:bCs/>
          <w:i/>
          <w:iCs/>
          <w:smallCaps/>
          <w:sz w:val="22"/>
          <w:szCs w:val="24"/>
        </w:rPr>
      </w:r>
    </w:p>
    <w:p>
      <w:pPr>
        <w:pStyle w:val="Normal"/>
        <w:autoSpaceDE w:val="false"/>
        <w:rPr>
          <w:rFonts w:ascii="Palatino Linotype" w:hAnsi="Palatino Linotype" w:cs="Palatino Linotype"/>
          <w:b/>
          <w:bCs/>
          <w:sz w:val="22"/>
        </w:rPr>
      </w:pPr>
      <w:r>
        <w:rPr>
          <w:rFonts w:cs="Palatino Linotype" w:ascii="Palatino Linotype" w:hAnsi="Palatino Linotype"/>
          <w:b/>
          <w:bCs/>
          <w:sz w:val="22"/>
        </w:rPr>
        <w:t>7:30-8:30 a.m.</w:t>
        <w:tab/>
        <w:tab/>
        <w:t>Continental Breakfast and Registration for Delegates</w:t>
      </w:r>
    </w:p>
    <w:p>
      <w:pPr>
        <w:pStyle w:val="Normal"/>
        <w:autoSpaceDE w:val="false"/>
        <w:rPr>
          <w:rFonts w:ascii="Palatino Linotype" w:hAnsi="Palatino Linotype" w:cs="Palatino Linotype"/>
          <w:b/>
          <w:bCs/>
          <w:sz w:val="22"/>
        </w:rPr>
      </w:pPr>
      <w:r>
        <w:rPr>
          <w:rFonts w:cs="Palatino Linotype" w:ascii="Palatino Linotype" w:hAnsi="Palatino Linotype"/>
          <w:b/>
          <w:bCs/>
          <w:sz w:val="22"/>
        </w:rPr>
      </w:r>
    </w:p>
    <w:p>
      <w:pPr>
        <w:pStyle w:val="Normal"/>
        <w:autoSpaceDE w:val="false"/>
        <w:rPr>
          <w:rFonts w:ascii="Palatino Linotype" w:hAnsi="Palatino Linotype" w:cs="Palatino Linotype"/>
          <w:sz w:val="18"/>
        </w:rPr>
      </w:pPr>
      <w:r>
        <w:rPr>
          <w:rFonts w:cs="Palatino Linotype" w:ascii="Palatino Linotype" w:hAnsi="Palatino Linotype"/>
          <w:sz w:val="18"/>
          <w:szCs w:val="20"/>
        </w:rPr>
        <w:t>PLEASE NOTE: OPENING AND CONCLUDING PLENARY SESSIONS WILL BE OPEN TO THE GENERAL PRESS.  IN THE INTEREST OF CANDOR, ALL OTHER SESSIONS WILL BE OFF THE RECORD WITH PRESS PARTICIPATION BY INVITATION ONLY.</w:t>
      </w:r>
    </w:p>
    <w:p>
      <w:pPr>
        <w:pStyle w:val="Normal"/>
        <w:autoSpaceDE w:val="false"/>
        <w:rPr>
          <w:rFonts w:ascii="Palatino Linotype" w:hAnsi="Palatino Linotype" w:cs="Palatino Linotype"/>
          <w:b/>
          <w:bCs/>
          <w:sz w:val="22"/>
        </w:rPr>
      </w:pPr>
      <w:r>
        <w:rPr>
          <w:rFonts w:cs="Palatino Linotype" w:ascii="Palatino Linotype" w:hAnsi="Palatino Linotype"/>
          <w:b/>
          <w:bCs/>
          <w:sz w:val="22"/>
        </w:rPr>
      </w:r>
    </w:p>
    <w:p>
      <w:pPr>
        <w:pStyle w:val="Normal"/>
        <w:autoSpaceDE w:val="false"/>
        <w:rPr/>
      </w:pPr>
      <w:r>
        <w:rPr>
          <w:rFonts w:cs="Palatino Linotype" w:ascii="Palatino Linotype" w:hAnsi="Palatino Linotype"/>
          <w:b/>
          <w:bCs/>
          <w:sz w:val="22"/>
        </w:rPr>
        <w:t>8:30-9:30 a.m.</w:t>
        <w:tab/>
        <w:tab/>
        <w:t xml:space="preserve">Opening Plenary Session:  </w:t>
      </w:r>
      <w:r>
        <w:rPr>
          <w:rFonts w:cs="Palatino Linotype" w:ascii="Palatino Linotype" w:hAnsi="Palatino Linotype"/>
          <w:sz w:val="22"/>
        </w:rPr>
        <w:t>“Markets vs. Regulation: Finding the Proper Mix”</w:t>
      </w:r>
    </w:p>
    <w:p>
      <w:pPr>
        <w:pStyle w:val="Normal"/>
        <w:autoSpaceDE w:val="false"/>
        <w:rPr>
          <w:rFonts w:ascii="Palatino Linotype" w:hAnsi="Palatino Linotype" w:cs="Palatino Linotype"/>
          <w:b/>
          <w:bCs/>
          <w:sz w:val="22"/>
        </w:rPr>
      </w:pPr>
      <w:r>
        <w:rPr>
          <w:rFonts w:cs="Palatino Linotype" w:ascii="Palatino Linotype" w:hAnsi="Palatino Linotype"/>
          <w:b/>
          <w:bCs/>
          <w:sz w:val="22"/>
        </w:rPr>
      </w:r>
    </w:p>
    <w:p>
      <w:pPr>
        <w:pStyle w:val="Normal"/>
        <w:autoSpaceDE w:val="false"/>
        <w:ind w:firstLine="720" w:start="1440" w:end="0"/>
        <w:rPr>
          <w:rFonts w:ascii="Palatino Linotype" w:hAnsi="Palatino Linotype" w:cs="Palatino Linotype"/>
          <w:sz w:val="22"/>
        </w:rPr>
      </w:pPr>
      <w:r>
        <w:rPr>
          <w:rFonts w:cs="Palatino Linotype" w:ascii="Palatino Linotype" w:hAnsi="Palatino Linotype"/>
          <w:sz w:val="22"/>
        </w:rPr>
        <w:t>Featured Remarks:  Pat Wood, Commissioner, FERC*</w:t>
      </w:r>
    </w:p>
    <w:p>
      <w:pPr>
        <w:pStyle w:val="Normal"/>
        <w:autoSpaceDE w:val="false"/>
        <w:rPr>
          <w:rFonts w:ascii="Palatino Linotype" w:hAnsi="Palatino Linotype" w:cs="Palatino Linotype"/>
          <w:b/>
          <w:bCs/>
          <w:sz w:val="22"/>
        </w:rPr>
      </w:pPr>
      <w:r>
        <w:rPr>
          <w:rFonts w:cs="Palatino Linotype" w:ascii="Palatino Linotype" w:hAnsi="Palatino Linotype"/>
          <w:b/>
          <w:bCs/>
          <w:sz w:val="22"/>
        </w:rPr>
      </w:r>
    </w:p>
    <w:p>
      <w:pPr>
        <w:pStyle w:val="Normal"/>
        <w:autoSpaceDE w:val="false"/>
        <w:ind w:hanging="2160" w:start="2160" w:end="0"/>
        <w:rPr>
          <w:rFonts w:ascii="Palatino Linotype" w:hAnsi="Palatino Linotype" w:cs="Palatino Linotype"/>
          <w:b/>
          <w:bCs/>
          <w:sz w:val="22"/>
        </w:rPr>
      </w:pPr>
      <w:r>
        <w:rPr>
          <w:rFonts w:cs="Palatino Linotype" w:ascii="Palatino Linotype" w:hAnsi="Palatino Linotype"/>
          <w:b/>
          <w:bCs/>
          <w:sz w:val="22"/>
        </w:rPr>
        <w:t>9:45-11:45 a.m.</w:t>
        <w:tab/>
        <w:t>Scenario Session I</w:t>
      </w:r>
    </w:p>
    <w:p>
      <w:pPr>
        <w:pStyle w:val="Normal"/>
        <w:autoSpaceDE w:val="false"/>
        <w:ind w:start="2160" w:end="0"/>
        <w:rPr/>
      </w:pPr>
      <w:r>
        <w:rPr>
          <w:rFonts w:cs="Palatino Linotype" w:ascii="Palatino Linotype" w:hAnsi="Palatino Linotype"/>
          <w:b/>
          <w:bCs/>
          <w:sz w:val="22"/>
        </w:rPr>
        <w:t xml:space="preserve">Scenario A </w:t>
        <w:noBreakHyphen/>
        <w:t xml:space="preserve"> The Crisis is Contained.  Anticipating the Next Challenge:  </w:t>
      </w:r>
      <w:r>
        <w:rPr>
          <w:rFonts w:cs="Palatino Linotype" w:ascii="Palatino Linotype" w:hAnsi="Palatino Linotype"/>
          <w:sz w:val="22"/>
        </w:rPr>
        <w:t>Under this first scenario, natural gas and electricity prices continue to subside.  Public concern fades as energy prices gradually decline.  The crisis remains contained to California.  Hydro conditions improve during Winter 2001, and other western states are able to manage any emerging supply problems.  Potential trouble states in other regions, like New York, manage to install enough capacity and alleviate transmission constraints, both in gas and electricity.  Efforts to mitigate the energy crisis overachieve in some regions.</w:t>
      </w:r>
      <w:r>
        <w:rPr>
          <w:rFonts w:cs="Palatino Linotype" w:ascii="Palatino Linotype" w:hAnsi="Palatino Linotype"/>
          <w:b/>
          <w:bCs/>
          <w:sz w:val="22"/>
        </w:rPr>
        <w:t xml:space="preserve">  </w:t>
      </w:r>
      <w:r>
        <w:rPr>
          <w:rFonts w:cs="Palatino Linotype" w:ascii="Palatino Linotype" w:hAnsi="Palatino Linotype"/>
          <w:sz w:val="22"/>
        </w:rPr>
        <w:t>The nation’s energy supply mix shifts slightly in response to policy changes.</w:t>
      </w:r>
    </w:p>
    <w:p>
      <w:pPr>
        <w:pStyle w:val="Normal"/>
        <w:autoSpaceDE w:val="false"/>
        <w:ind w:start="2160" w:end="0"/>
        <w:rPr>
          <w:rFonts w:ascii="Palatino Linotype" w:hAnsi="Palatino Linotype" w:cs="Palatino Linotype"/>
          <w:sz w:val="22"/>
        </w:rPr>
      </w:pPr>
      <w:r>
        <w:rPr>
          <w:rFonts w:cs="Palatino Linotype" w:ascii="Palatino Linotype" w:hAnsi="Palatino Linotype"/>
          <w:sz w:val="22"/>
        </w:rPr>
      </w:r>
    </w:p>
    <w:p>
      <w:pPr>
        <w:pStyle w:val="Normal"/>
        <w:autoSpaceDE w:val="false"/>
        <w:ind w:start="2160" w:end="0"/>
        <w:rPr/>
      </w:pPr>
      <w:r>
        <w:rPr>
          <w:rFonts w:cs="Palatino Linotype" w:ascii="Palatino Linotype" w:hAnsi="Palatino Linotype"/>
          <w:b/>
          <w:bCs/>
          <w:sz w:val="22"/>
        </w:rPr>
        <w:t xml:space="preserve">Scenario B </w:t>
        <w:noBreakHyphen/>
        <w:t xml:space="preserve"> Crisis Worsens, Spreads to Other States:</w:t>
      </w:r>
      <w:r>
        <w:rPr>
          <w:rFonts w:cs="Palatino Linotype" w:ascii="Palatino Linotype" w:hAnsi="Palatino Linotype"/>
          <w:sz w:val="22"/>
        </w:rPr>
        <w:t xml:space="preserve">  Efforts to mitigate California’s electricity crisis prove insufficient, or even exacerbate the problem.  Shortages worsen in the Pacific Northwest, and Desert Southwest, pinching import-dependent California even further.  Neighboring states refuse to export to California.  Other resource supply shortages emerge as well: Natural gas prices surge, sharing of water resources between California and the Pacific Northwest become a serious point of contention.  California quickly burns through the money raised by its bond issue, and the state finds itself in severe financial trouble.  Federal and state authorities respond to perceived infrastructure shortages by relaxing right-of-way and environmental regulations.  States in other regions also suffer supply shortages during the summers.  Trends toward deregulation are halted in various states, reversed in others.</w:t>
      </w:r>
    </w:p>
    <w:p>
      <w:pPr>
        <w:pStyle w:val="Normal"/>
        <w:autoSpaceDE w:val="false"/>
        <w:ind w:start="2160" w:end="0"/>
        <w:rPr>
          <w:rFonts w:ascii="Palatino Linotype" w:hAnsi="Palatino Linotype" w:cs="Palatino Linotype"/>
          <w:sz w:val="22"/>
        </w:rPr>
      </w:pPr>
      <w:r>
        <w:rPr>
          <w:rFonts w:cs="Palatino Linotype" w:ascii="Palatino Linotype" w:hAnsi="Palatino Linotype"/>
          <w:sz w:val="22"/>
        </w:rPr>
      </w:r>
    </w:p>
    <w:p>
      <w:pPr>
        <w:pStyle w:val="Heading1"/>
        <w:rPr>
          <w:rFonts w:ascii="Palatino Linotype" w:hAnsi="Palatino Linotype" w:cs="Palatino Linotype"/>
          <w:sz w:val="22"/>
        </w:rPr>
      </w:pPr>
      <w:r>
        <w:rPr>
          <w:rFonts w:cs="Palatino Linotype" w:ascii="Palatino Linotype" w:hAnsi="Palatino Linotype"/>
          <w:sz w:val="22"/>
        </w:rPr>
        <w:t>Featured Commentators</w:t>
      </w:r>
    </w:p>
    <w:p>
      <w:pPr>
        <w:pStyle w:val="Normal"/>
        <w:rPr>
          <w:rFonts w:ascii="Palatino Linotype" w:hAnsi="Palatino Linotype" w:cs="Palatino Linotype"/>
          <w:sz w:val="22"/>
        </w:rPr>
      </w:pPr>
      <w:r>
        <w:rPr>
          <w:rFonts w:cs="Palatino Linotype" w:ascii="Palatino Linotype" w:hAnsi="Palatino Linotype"/>
          <w:sz w:val="22"/>
        </w:rPr>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Kenneth Lay, Chairman, Enron Corp.*</w:t>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Daniel Yergin, Chairman, Cambridge Energy Research Associates (CERA)*</w:t>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Judy Walsh, Former Texas PUC Commissioner*</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Gary Ackerman, Executive Director, Western Power Trading Forum*</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Nora Mead Brownell, Commissioner, FERC*</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Frank H. Murkowski, Alaska, Ranking Member, Committee on Energy and Natural Resources</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Michael Hacskaylo, Administrator, Western Area Power Association*</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Robert Hahn, Director, AEI-Brookings Joint Center for Regulatory Studies</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Jeff Bingaman, New Mexico, Chairman, Committee on Energy and Natural Resources</w:t>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Brian Malnak, Staff Director, Senate Committee on Energy and Natural Resources*</w:t>
      </w:r>
    </w:p>
    <w:p>
      <w:pPr>
        <w:pStyle w:val="Normal"/>
        <w:numPr>
          <w:ilvl w:val="0"/>
          <w:numId w:val="4"/>
        </w:numPr>
        <w:autoSpaceDE w:val="false"/>
        <w:rPr>
          <w:rFonts w:ascii="Palatino Linotype" w:hAnsi="Palatino Linotype" w:cs="Palatino Linotype"/>
          <w:sz w:val="22"/>
        </w:rPr>
      </w:pPr>
      <w:r>
        <w:rPr>
          <w:rFonts w:cs="Palatino Linotype" w:ascii="Palatino Linotype" w:hAnsi="Palatino Linotype"/>
          <w:color w:val="000000"/>
          <w:sz w:val="22"/>
        </w:rPr>
        <w:t>Nettie Hoge, Executive Director, The Utility Reform Network (TURN)*</w:t>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T.J. Glauthier, President and CEO, Electricity Innovation Institute*</w:t>
      </w:r>
    </w:p>
    <w:p>
      <w:pPr>
        <w:pStyle w:val="Normal"/>
        <w:numPr>
          <w:ilvl w:val="0"/>
          <w:numId w:val="3"/>
        </w:numPr>
        <w:autoSpaceDE w:val="false"/>
        <w:rPr>
          <w:rFonts w:ascii="Palatino Linotype" w:hAnsi="Palatino Linotype" w:cs="Palatino Linotype"/>
          <w:i/>
          <w:i/>
          <w:iCs/>
          <w:sz w:val="22"/>
        </w:rPr>
      </w:pPr>
      <w:r>
        <w:rPr>
          <w:rFonts w:cs="Palatino Linotype" w:ascii="Palatino Linotype" w:hAnsi="Palatino Linotype"/>
          <w:sz w:val="22"/>
        </w:rPr>
        <w:t>Robert Michaels, Professor of Economics, California State University at Fullerton*</w:t>
      </w:r>
    </w:p>
    <w:p>
      <w:pPr>
        <w:pStyle w:val="Normal"/>
        <w:rPr>
          <w:rFonts w:ascii="Palatino Linotype" w:hAnsi="Palatino Linotype" w:cs="Palatino Linotype"/>
          <w:i/>
          <w:i/>
          <w:iCs/>
          <w:sz w:val="22"/>
        </w:rPr>
      </w:pPr>
      <w:r>
        <w:rPr>
          <w:rFonts w:cs="Palatino Linotype" w:ascii="Palatino Linotype" w:hAnsi="Palatino Linotype"/>
          <w:i/>
          <w:iCs/>
          <w:sz w:val="22"/>
        </w:rPr>
      </w:r>
    </w:p>
    <w:p>
      <w:pPr>
        <w:pStyle w:val="Normal"/>
        <w:autoSpaceDE w:val="false"/>
        <w:ind w:hanging="2160" w:start="2160" w:end="0"/>
        <w:rPr>
          <w:rFonts w:ascii="Palatino Linotype" w:hAnsi="Palatino Linotype" w:cs="Palatino Linotype"/>
          <w:sz w:val="22"/>
        </w:rPr>
      </w:pPr>
      <w:r>
        <w:rPr>
          <w:rFonts w:cs="Palatino Linotype" w:ascii="Palatino Linotype" w:hAnsi="Palatino Linotype"/>
          <w:b/>
          <w:bCs/>
          <w:color w:val="000000"/>
          <w:sz w:val="22"/>
        </w:rPr>
        <w:t>12:00-2:00 p.m.</w:t>
        <w:tab/>
      </w:r>
      <w:r>
        <w:rPr>
          <w:rFonts w:cs="Palatino Linotype" w:ascii="Palatino Linotype" w:hAnsi="Palatino Linotype"/>
          <w:b/>
          <w:bCs/>
          <w:sz w:val="22"/>
        </w:rPr>
        <w:t>Luncheon Roundtable “Virtual Energy Markets: A Look Ahead”</w:t>
      </w:r>
    </w:p>
    <w:p>
      <w:pPr>
        <w:pStyle w:val="Normal"/>
        <w:tabs>
          <w:tab w:val="left" w:pos="720" w:leader="none"/>
        </w:tabs>
        <w:autoSpaceDE w:val="false"/>
        <w:rPr>
          <w:rFonts w:ascii="Palatino Linotype" w:hAnsi="Palatino Linotype" w:cs="Palatino Linotype"/>
          <w:color w:val="000000"/>
          <w:sz w:val="22"/>
        </w:rPr>
      </w:pPr>
      <w:r>
        <w:rPr>
          <w:rFonts w:cs="Palatino Linotype" w:ascii="Palatino Linotype" w:hAnsi="Palatino Linotype"/>
          <w:color w:val="000000"/>
          <w:sz w:val="22"/>
        </w:rPr>
      </w:r>
    </w:p>
    <w:p>
      <w:pPr>
        <w:pStyle w:val="Normal"/>
        <w:autoSpaceDE w:val="false"/>
        <w:ind w:start="2160" w:end="0"/>
        <w:rPr>
          <w:rFonts w:ascii="Palatino Linotype" w:hAnsi="Palatino Linotype" w:cs="Palatino Linotype"/>
          <w:color w:val="000000"/>
          <w:sz w:val="22"/>
        </w:rPr>
      </w:pPr>
      <w:r>
        <w:rPr>
          <w:rFonts w:cs="Palatino Linotype" w:ascii="Palatino Linotype" w:hAnsi="Palatino Linotype"/>
          <w:color w:val="000000"/>
          <w:sz w:val="22"/>
        </w:rPr>
        <w:t>This luncheon discussion will focus on the challenge ahead for the energy industry itself.  To what extent will “virtual” energy contracts overcome physical imbalances?  Is there a trend toward “financialization” of the energy industry?  What mitigating role might risk management instruments have played in California’s energy crisis?  Could they help avert possible future crises elsewhere?</w:t>
      </w:r>
    </w:p>
    <w:p>
      <w:pPr>
        <w:pStyle w:val="Normal"/>
        <w:autoSpaceDE w:val="false"/>
        <w:ind w:start="2160" w:end="0"/>
        <w:rPr>
          <w:rFonts w:ascii="Palatino Linotype" w:hAnsi="Palatino Linotype" w:cs="Palatino Linotype"/>
          <w:color w:val="000000"/>
          <w:sz w:val="22"/>
        </w:rPr>
      </w:pPr>
      <w:r>
        <w:rPr>
          <w:rFonts w:cs="Palatino Linotype" w:ascii="Palatino Linotype" w:hAnsi="Palatino Linotype"/>
          <w:color w:val="000000"/>
          <w:sz w:val="22"/>
        </w:rPr>
      </w:r>
    </w:p>
    <w:p>
      <w:pPr>
        <w:pStyle w:val="Normal"/>
        <w:autoSpaceDE w:val="false"/>
        <w:ind w:start="2160" w:end="0"/>
        <w:rPr>
          <w:rFonts w:ascii="Palatino Linotype" w:hAnsi="Palatino Linotype" w:cs="Palatino Linotype"/>
          <w:i/>
          <w:i/>
          <w:iCs/>
          <w:sz w:val="22"/>
        </w:rPr>
      </w:pPr>
      <w:r>
        <w:rPr>
          <w:rFonts w:cs="Palatino Linotype" w:ascii="Palatino Linotype" w:hAnsi="Palatino Linotype"/>
          <w:sz w:val="22"/>
        </w:rPr>
        <w:t>Opening Remarks:  Jeffrey K.  Skilling, President &amp; CEO, Enron Corp.*</w:t>
      </w:r>
    </w:p>
    <w:p>
      <w:pPr>
        <w:pStyle w:val="Normal"/>
        <w:autoSpaceDE w:val="false"/>
        <w:rPr>
          <w:rFonts w:ascii="Palatino Linotype" w:hAnsi="Palatino Linotype" w:cs="Palatino Linotype"/>
          <w:i/>
          <w:i/>
          <w:iCs/>
          <w:color w:val="000000"/>
          <w:sz w:val="22"/>
        </w:rPr>
      </w:pPr>
      <w:r>
        <w:rPr>
          <w:rFonts w:cs="Palatino Linotype" w:ascii="Palatino Linotype" w:hAnsi="Palatino Linotype"/>
          <w:i/>
          <w:iCs/>
          <w:color w:val="000000"/>
          <w:sz w:val="22"/>
        </w:rPr>
      </w:r>
    </w:p>
    <w:p>
      <w:pPr>
        <w:pStyle w:val="Normal"/>
        <w:tabs>
          <w:tab w:val="clear" w:pos="720"/>
          <w:tab w:val="left" w:pos="360" w:leader="none"/>
        </w:tabs>
        <w:autoSpaceDE w:val="false"/>
        <w:ind w:start="1440" w:end="0"/>
        <w:rPr/>
      </w:pPr>
      <w:r>
        <w:rPr>
          <w:rFonts w:cs="Palatino Linotype" w:ascii="Palatino Linotype" w:hAnsi="Palatino Linotype"/>
          <w:i/>
          <w:iCs/>
          <w:sz w:val="22"/>
        </w:rPr>
        <w:tab/>
      </w:r>
      <w:r>
        <w:rPr>
          <w:rFonts w:cs="Palatino Linotype" w:ascii="Palatino Linotype" w:hAnsi="Palatino Linotype"/>
          <w:sz w:val="22"/>
          <w:u w:val="single"/>
        </w:rPr>
        <w:t>Featured Commentators</w:t>
      </w:r>
    </w:p>
    <w:p>
      <w:pPr>
        <w:pStyle w:val="Normal"/>
        <w:tabs>
          <w:tab w:val="clear" w:pos="720"/>
          <w:tab w:val="left" w:pos="360" w:leader="none"/>
        </w:tabs>
        <w:autoSpaceDE w:val="false"/>
        <w:ind w:start="1440" w:end="0"/>
        <w:rPr>
          <w:rFonts w:ascii="Palatino Linotype" w:hAnsi="Palatino Linotype" w:cs="Palatino Linotype"/>
          <w:sz w:val="22"/>
          <w:u w:val="single"/>
        </w:rPr>
      </w:pPr>
      <w:r>
        <w:rPr>
          <w:rFonts w:cs="Palatino Linotype" w:ascii="Palatino Linotype" w:hAnsi="Palatino Linotype"/>
          <w:sz w:val="22"/>
          <w:u w:val="single"/>
        </w:rPr>
      </w:r>
    </w:p>
    <w:p>
      <w:pPr>
        <w:pStyle w:val="Normal"/>
        <w:numPr>
          <w:ilvl w:val="0"/>
          <w:numId w:val="3"/>
        </w:numPr>
        <w:rPr>
          <w:rFonts w:ascii="Palatino Linotype" w:hAnsi="Palatino Linotype" w:cs="Palatino Linotype"/>
          <w:sz w:val="22"/>
        </w:rPr>
      </w:pPr>
      <w:r>
        <w:rPr>
          <w:rFonts w:cs="Palatino Linotype" w:ascii="Palatino Linotype" w:hAnsi="Palatino Linotype"/>
          <w:sz w:val="22"/>
        </w:rPr>
        <w:t>Dick Foster, Senior Partner &amp; Director, McKinsey &amp; Co.</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Terry Winter, CEO, California ISO*</w:t>
      </w:r>
    </w:p>
    <w:p>
      <w:pPr>
        <w:pStyle w:val="Normal"/>
        <w:numPr>
          <w:ilvl w:val="0"/>
          <w:numId w:val="2"/>
        </w:numPr>
        <w:rPr>
          <w:rFonts w:ascii="Palatino Linotype" w:hAnsi="Palatino Linotype" w:cs="Palatino Linotype"/>
          <w:sz w:val="22"/>
        </w:rPr>
      </w:pPr>
      <w:r>
        <w:rPr>
          <w:rFonts w:cs="Palatino Linotype" w:ascii="Palatino Linotype" w:hAnsi="Palatino Linotype"/>
          <w:color w:val="000000"/>
          <w:sz w:val="22"/>
        </w:rPr>
        <w:t>Robert Levin, Senior Vice President for Planning and Development, New York Mercantile Exchange*</w:t>
      </w:r>
    </w:p>
    <w:p>
      <w:pPr>
        <w:pStyle w:val="Normal"/>
        <w:numPr>
          <w:ilvl w:val="0"/>
          <w:numId w:val="2"/>
        </w:numPr>
        <w:rPr>
          <w:rFonts w:ascii="Palatino Linotype" w:hAnsi="Palatino Linotype" w:cs="Palatino Linotype"/>
          <w:sz w:val="22"/>
        </w:rPr>
      </w:pPr>
      <w:r>
        <w:rPr>
          <w:rFonts w:cs="Palatino Linotype" w:ascii="Palatino Linotype" w:hAnsi="Palatino Linotype"/>
          <w:sz w:val="22"/>
        </w:rPr>
        <w:t>James Newsome, Acting Chairman, Commodities Futures Trading Commission*</w:t>
      </w:r>
    </w:p>
    <w:p>
      <w:pPr>
        <w:pStyle w:val="NormalWeb"/>
        <w:numPr>
          <w:ilvl w:val="0"/>
          <w:numId w:val="2"/>
        </w:numPr>
        <w:spacing w:before="0" w:after="280"/>
        <w:rPr>
          <w:rFonts w:ascii="Palatino Linotype" w:hAnsi="Palatino Linotype" w:cs="Palatino Linotype"/>
          <w:sz w:val="22"/>
        </w:rPr>
      </w:pPr>
      <w:r>
        <w:rPr>
          <w:rFonts w:cs="Palatino Linotype" w:ascii="Palatino Linotype" w:hAnsi="Palatino Linotype"/>
          <w:sz w:val="22"/>
        </w:rPr>
        <w:t>Lawrence Eagles, Director of Research, GNI, Ltd.</w:t>
      </w:r>
    </w:p>
    <w:p>
      <w:pPr>
        <w:pStyle w:val="Normal"/>
        <w:numPr>
          <w:ilvl w:val="0"/>
          <w:numId w:val="2"/>
        </w:numPr>
        <w:rPr>
          <w:rFonts w:ascii="Palatino Linotype" w:hAnsi="Palatino Linotype" w:cs="Palatino Linotype"/>
          <w:sz w:val="22"/>
        </w:rPr>
      </w:pPr>
      <w:r>
        <w:rPr>
          <w:rFonts w:cs="Palatino Linotype" w:ascii="Palatino Linotype" w:hAnsi="Palatino Linotype"/>
          <w:sz w:val="22"/>
        </w:rPr>
        <w:t>Kit Konolige, Managing Director, Morgan Stanley Dean Witter, New York*</w:t>
      </w:r>
    </w:p>
    <w:p>
      <w:pPr>
        <w:pStyle w:val="Normal"/>
        <w:numPr>
          <w:ilvl w:val="0"/>
          <w:numId w:val="3"/>
        </w:numPr>
        <w:rPr>
          <w:rFonts w:ascii="Palatino Linotype" w:hAnsi="Palatino Linotype" w:cs="Palatino Linotype"/>
          <w:i/>
          <w:i/>
          <w:iCs/>
          <w:sz w:val="22"/>
        </w:rPr>
      </w:pPr>
      <w:r>
        <w:rPr>
          <w:rFonts w:cs="Palatino Linotype" w:ascii="Palatino Linotype" w:hAnsi="Palatino Linotype"/>
          <w:sz w:val="22"/>
        </w:rPr>
        <w:t xml:space="preserve">Vijay Vaitheeswaran, Energy and Environment Reporter, </w:t>
      </w:r>
      <w:r>
        <w:rPr>
          <w:rFonts w:cs="Palatino Linotype" w:ascii="Palatino Linotype" w:hAnsi="Palatino Linotype"/>
          <w:i/>
          <w:iCs/>
          <w:sz w:val="22"/>
        </w:rPr>
        <w:t>The Economist*</w:t>
      </w:r>
    </w:p>
    <w:p>
      <w:pPr>
        <w:pStyle w:val="Normal"/>
        <w:autoSpaceDE w:val="false"/>
        <w:ind w:firstLine="720" w:start="1440" w:end="0"/>
        <w:rPr>
          <w:rFonts w:ascii="Palatino Linotype" w:hAnsi="Palatino Linotype" w:cs="Palatino Linotype"/>
          <w:b/>
          <w:bCs/>
          <w:i/>
          <w:i/>
          <w:iCs/>
          <w:sz w:val="22"/>
        </w:rPr>
      </w:pPr>
      <w:r>
        <w:rPr>
          <w:rFonts w:cs="Palatino Linotype" w:ascii="Palatino Linotype" w:hAnsi="Palatino Linotype"/>
          <w:b/>
          <w:bCs/>
          <w:i/>
          <w:iCs/>
          <w:sz w:val="22"/>
        </w:rPr>
      </w:r>
    </w:p>
    <w:p>
      <w:pPr>
        <w:pStyle w:val="Normal"/>
        <w:autoSpaceDE w:val="false"/>
        <w:rPr>
          <w:rFonts w:ascii="Palatino Linotype" w:hAnsi="Palatino Linotype" w:cs="Palatino Linotype"/>
          <w:b/>
          <w:bCs/>
          <w:sz w:val="22"/>
        </w:rPr>
      </w:pPr>
      <w:r>
        <w:rPr>
          <w:rFonts w:cs="Palatino Linotype" w:ascii="Palatino Linotype" w:hAnsi="Palatino Linotype"/>
          <w:b/>
          <w:bCs/>
          <w:sz w:val="22"/>
        </w:rPr>
        <w:t>2:15-4:15 p.m.</w:t>
        <w:tab/>
        <w:tab/>
        <w:t>Scenario Session II</w:t>
      </w:r>
    </w:p>
    <w:p>
      <w:pPr>
        <w:pStyle w:val="BodyTextIndent2"/>
        <w:rPr>
          <w:rFonts w:ascii="Palatino Linotype" w:hAnsi="Palatino Linotype" w:cs="Palatino Linotype"/>
          <w:b w:val="false"/>
          <w:sz w:val="22"/>
        </w:rPr>
      </w:pPr>
      <w:r>
        <w:rPr>
          <w:rFonts w:cs="Palatino Linotype" w:ascii="Palatino Linotype" w:hAnsi="Palatino Linotype"/>
          <w:bCs/>
          <w:sz w:val="22"/>
        </w:rPr>
        <w:t>“</w:t>
      </w:r>
      <w:r>
        <w:rPr>
          <w:rFonts w:cs="Palatino Linotype" w:ascii="Palatino Linotype" w:hAnsi="Palatino Linotype"/>
          <w:bCs/>
          <w:sz w:val="22"/>
        </w:rPr>
        <w:t>Political Aftershocks and Regulatory Responses”</w:t>
      </w:r>
    </w:p>
    <w:p>
      <w:pPr>
        <w:pStyle w:val="BodyTextIndent2"/>
        <w:rPr>
          <w:rFonts w:ascii="Palatino Linotype" w:hAnsi="Palatino Linotype" w:cs="Palatino Linotype"/>
          <w:b w:val="false"/>
          <w:bCs/>
          <w:sz w:val="22"/>
        </w:rPr>
      </w:pPr>
      <w:r>
        <w:rPr>
          <w:rFonts w:cs="Palatino Linotype" w:ascii="Palatino Linotype" w:hAnsi="Palatino Linotype"/>
          <w:b w:val="false"/>
          <w:bCs/>
          <w:sz w:val="22"/>
        </w:rPr>
      </w:r>
    </w:p>
    <w:p>
      <w:pPr>
        <w:pStyle w:val="BodyTextIndent2"/>
        <w:rPr/>
      </w:pPr>
      <w:r>
        <w:rPr>
          <w:rFonts w:cs="Palatino Linotype" w:ascii="Palatino Linotype" w:hAnsi="Palatino Linotype"/>
          <w:sz w:val="22"/>
        </w:rPr>
        <w:t xml:space="preserve">Scenario A – More government, less markets: </w:t>
      </w:r>
      <w:r>
        <w:rPr>
          <w:rFonts w:cs="Palatino Linotype" w:ascii="Palatino Linotype" w:hAnsi="Palatino Linotype"/>
          <w:b w:val="false"/>
          <w:bCs/>
          <w:sz w:val="22"/>
        </w:rPr>
        <w:t>Under this first scenario, regulators react to the energy crisis by taking a more active role in state electricity markets.  As other states experience their own, or inherit California’s, electricity shortages, public opinion calls for price caps, not just mitigation, and at least some regulators respond.  Congress drafts comprehensive energy legislation extending powers of a number of federal agencies to facilitate the building of infrastructure.</w:t>
      </w:r>
    </w:p>
    <w:p>
      <w:pPr>
        <w:pStyle w:val="BodyTextIndent2"/>
        <w:rPr>
          <w:rFonts w:ascii="Palatino Linotype" w:hAnsi="Palatino Linotype" w:cs="Palatino Linotype"/>
          <w:b w:val="false"/>
          <w:bCs/>
          <w:sz w:val="22"/>
        </w:rPr>
      </w:pPr>
      <w:r>
        <w:rPr>
          <w:rFonts w:cs="Palatino Linotype" w:ascii="Palatino Linotype" w:hAnsi="Palatino Linotype"/>
          <w:b w:val="false"/>
          <w:bCs/>
          <w:sz w:val="22"/>
        </w:rPr>
      </w:r>
    </w:p>
    <w:p>
      <w:pPr>
        <w:pStyle w:val="BodyTextIndent2"/>
        <w:rPr/>
      </w:pPr>
      <w:r>
        <w:rPr>
          <w:rFonts w:cs="Palatino Linotype" w:ascii="Palatino Linotype" w:hAnsi="Palatino Linotype"/>
          <w:sz w:val="22"/>
        </w:rPr>
        <w:t>Scenario B – More markets, less government:</w:t>
      </w:r>
      <w:r>
        <w:rPr>
          <w:rFonts w:cs="Palatino Linotype" w:ascii="Palatino Linotype" w:hAnsi="Palatino Linotype"/>
          <w:b w:val="false"/>
          <w:bCs/>
          <w:sz w:val="22"/>
        </w:rPr>
        <w:t xml:space="preserve"> Price mitigation measures are removed after a time in California, and other states (like New York) considering such measures drop their plans.  Customers either benefit from lower prices, or at last come to grips with realities of a deregulated power sector, finding other ways (fixed price contracts, load curtailment programs, installing their own energy sources) of protecting themselves from price spikes.  Comprehensive energy legislation fails to emerge or serves to ease restrictions on infrastructure development.  </w:t>
      </w:r>
    </w:p>
    <w:p>
      <w:pPr>
        <w:pStyle w:val="Normal"/>
        <w:autoSpaceDE w:val="false"/>
        <w:ind w:start="2160" w:end="0"/>
        <w:rPr>
          <w:rFonts w:ascii="Palatino Linotype" w:hAnsi="Palatino Linotype" w:cs="Palatino Linotype"/>
          <w:b/>
          <w:bCs/>
          <w:i/>
          <w:i/>
          <w:iCs/>
          <w:sz w:val="22"/>
        </w:rPr>
      </w:pPr>
      <w:r>
        <w:rPr>
          <w:rFonts w:cs="Palatino Linotype" w:ascii="Palatino Linotype" w:hAnsi="Palatino Linotype"/>
          <w:b/>
          <w:bCs/>
          <w:i/>
          <w:iCs/>
          <w:sz w:val="22"/>
        </w:rPr>
      </w:r>
    </w:p>
    <w:p>
      <w:pPr>
        <w:pStyle w:val="Heading1"/>
        <w:rPr>
          <w:rFonts w:ascii="Palatino Linotype" w:hAnsi="Palatino Linotype" w:cs="Palatino Linotype"/>
          <w:sz w:val="22"/>
        </w:rPr>
      </w:pPr>
      <w:r>
        <w:rPr>
          <w:rFonts w:cs="Palatino Linotype" w:ascii="Palatino Linotype" w:hAnsi="Palatino Linotype"/>
          <w:sz w:val="22"/>
        </w:rPr>
        <w:t>Featured Commentators</w:t>
      </w:r>
    </w:p>
    <w:p>
      <w:pPr>
        <w:pStyle w:val="Normal"/>
        <w:rPr>
          <w:rFonts w:ascii="Palatino Linotype" w:hAnsi="Palatino Linotype" w:cs="Palatino Linotype"/>
          <w:sz w:val="22"/>
        </w:rPr>
      </w:pPr>
      <w:r>
        <w:rPr>
          <w:rFonts w:cs="Palatino Linotype" w:ascii="Palatino Linotype" w:hAnsi="Palatino Linotype"/>
          <w:sz w:val="22"/>
        </w:rPr>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Alan Richardson, Executive Director, American Public Power Association*</w:t>
      </w:r>
    </w:p>
    <w:p>
      <w:pPr>
        <w:pStyle w:val="Normal"/>
        <w:numPr>
          <w:ilvl w:val="0"/>
          <w:numId w:val="3"/>
        </w:numPr>
        <w:rPr>
          <w:rFonts w:ascii="Palatino Linotype" w:hAnsi="Palatino Linotype" w:cs="Palatino Linotype"/>
          <w:sz w:val="22"/>
        </w:rPr>
      </w:pPr>
      <w:r>
        <w:rPr>
          <w:rFonts w:cs="Palatino Linotype" w:ascii="Palatino Linotype" w:hAnsi="Palatino Linotype"/>
          <w:color w:val="000000"/>
          <w:sz w:val="22"/>
        </w:rPr>
        <w:t>W.J. "Billy" Tauzin, Louisiana, Chairman, Committee on Energy and Commerce</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Linda Breathitt, Commissioner, FERC*</w:t>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 xml:space="preserve">John D. Dingell, Michigan, Ranking Member, </w:t>
      </w:r>
      <w:r>
        <w:rPr>
          <w:rFonts w:cs="Palatino Linotype" w:ascii="Palatino Linotype" w:hAnsi="Palatino Linotype"/>
          <w:color w:val="000000"/>
          <w:sz w:val="22"/>
        </w:rPr>
        <w:t>Committee on Energy and Commerce</w:t>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John Fielder, Senior Vice President, Regulatory Policy and Affairs, Southern California Edison*</w:t>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R. Skip Horvath, President, Natural Gas Supply Association*</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John Coughlin, Board of Managers, Pennsylvania-New Jersey-Maryland (PJM)</w:t>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Lawrence Makovich, Senior Director, Cambridge Energy Research Associates (CERA)</w:t>
      </w:r>
    </w:p>
    <w:p>
      <w:pPr>
        <w:pStyle w:val="Normal"/>
        <w:numPr>
          <w:ilvl w:val="0"/>
          <w:numId w:val="3"/>
        </w:numPr>
        <w:autoSpaceDE w:val="false"/>
        <w:rPr>
          <w:rFonts w:ascii="Palatino Linotype" w:hAnsi="Palatino Linotype" w:cs="Palatino Linotype"/>
          <w:sz w:val="22"/>
        </w:rPr>
      </w:pPr>
      <w:r>
        <w:rPr>
          <w:rFonts w:cs="Palatino Linotype" w:ascii="Palatino Linotype" w:hAnsi="Palatino Linotype"/>
          <w:sz w:val="22"/>
        </w:rPr>
        <w:t>Fiona Woolf, Director Utilities Practice, CMS Cameron McKenna*</w:t>
      </w:r>
    </w:p>
    <w:p>
      <w:pPr>
        <w:pStyle w:val="Normal"/>
        <w:numPr>
          <w:ilvl w:val="0"/>
          <w:numId w:val="3"/>
        </w:numPr>
        <w:autoSpaceDE w:val="false"/>
        <w:rPr>
          <w:rFonts w:ascii="Palatino Linotype" w:hAnsi="Palatino Linotype" w:cs="Palatino Linotype"/>
          <w:b/>
          <w:bCs/>
          <w:sz w:val="22"/>
        </w:rPr>
      </w:pPr>
      <w:r>
        <w:rPr>
          <w:rFonts w:cs="Palatino Linotype" w:ascii="Palatino Linotype" w:hAnsi="Palatino Linotype"/>
          <w:sz w:val="22"/>
        </w:rPr>
        <w:t>Glenn Lovin, Director, Power Marketing Association*</w:t>
      </w:r>
    </w:p>
    <w:p>
      <w:pPr>
        <w:pStyle w:val="Normal"/>
        <w:numPr>
          <w:ilvl w:val="0"/>
          <w:numId w:val="3"/>
        </w:numPr>
        <w:autoSpaceDE w:val="false"/>
        <w:rPr>
          <w:rFonts w:ascii="Palatino Linotype" w:hAnsi="Palatino Linotype" w:cs="Palatino Linotype"/>
          <w:i/>
          <w:i/>
          <w:iCs/>
          <w:sz w:val="22"/>
        </w:rPr>
      </w:pPr>
      <w:r>
        <w:rPr>
          <w:rFonts w:cs="Palatino Linotype" w:ascii="Palatino Linotype" w:hAnsi="Palatino Linotype"/>
          <w:sz w:val="22"/>
        </w:rPr>
        <w:t>Keith Stuart Richman, State Assemblyman, 38th District, California*</w:t>
      </w:r>
    </w:p>
    <w:p>
      <w:pPr>
        <w:pStyle w:val="Normal"/>
        <w:autoSpaceDE w:val="false"/>
        <w:ind w:start="1800" w:end="0"/>
        <w:rPr>
          <w:rFonts w:ascii="Palatino Linotype" w:hAnsi="Palatino Linotype" w:cs="Palatino Linotype"/>
          <w:b/>
          <w:bCs/>
          <w:i/>
          <w:i/>
          <w:iCs/>
          <w:sz w:val="22"/>
        </w:rPr>
      </w:pPr>
      <w:r>
        <w:rPr>
          <w:rFonts w:cs="Palatino Linotype" w:ascii="Palatino Linotype" w:hAnsi="Palatino Linotype"/>
          <w:b/>
          <w:bCs/>
          <w:i/>
          <w:iCs/>
          <w:sz w:val="22"/>
        </w:rPr>
      </w:r>
    </w:p>
    <w:p>
      <w:pPr>
        <w:pStyle w:val="Normal"/>
        <w:autoSpaceDE w:val="false"/>
        <w:rPr>
          <w:rFonts w:ascii="Palatino Linotype" w:hAnsi="Palatino Linotype" w:cs="Palatino Linotype"/>
          <w:b/>
          <w:bCs/>
          <w:sz w:val="22"/>
        </w:rPr>
      </w:pPr>
      <w:r>
        <w:rPr>
          <w:rFonts w:cs="Palatino Linotype" w:ascii="Palatino Linotype" w:hAnsi="Palatino Linotype"/>
          <w:b/>
          <w:bCs/>
          <w:sz w:val="22"/>
        </w:rPr>
        <w:t>4:30-6:00 p.m.</w:t>
        <w:tab/>
        <w:tab/>
        <w:t>Cocktail Reception and Concluding Plenary Session</w:t>
      </w:r>
    </w:p>
    <w:p>
      <w:pPr>
        <w:pStyle w:val="Normal"/>
        <w:autoSpaceDE w:val="false"/>
        <w:ind w:start="2160" w:end="0"/>
        <w:rPr>
          <w:rFonts w:ascii="Palatino Linotype" w:hAnsi="Palatino Linotype" w:cs="Palatino Linotype"/>
          <w:b/>
          <w:bCs/>
          <w:sz w:val="22"/>
        </w:rPr>
      </w:pPr>
      <w:r>
        <w:rPr>
          <w:rFonts w:cs="Palatino Linotype" w:ascii="Palatino Linotype" w:hAnsi="Palatino Linotype"/>
          <w:b/>
          <w:bCs/>
          <w:sz w:val="22"/>
        </w:rPr>
        <w:t>“</w:t>
      </w:r>
      <w:r>
        <w:rPr>
          <w:rFonts w:cs="Palatino Linotype" w:ascii="Palatino Linotype" w:hAnsi="Palatino Linotype"/>
          <w:b/>
          <w:bCs/>
          <w:sz w:val="22"/>
        </w:rPr>
        <w:t>Lessons from Elsewhere and Arriving at Consensus”</w:t>
      </w:r>
    </w:p>
    <w:p>
      <w:pPr>
        <w:pStyle w:val="Normal"/>
        <w:autoSpaceDE w:val="false"/>
        <w:ind w:start="2160" w:end="0"/>
        <w:rPr>
          <w:rFonts w:ascii="Palatino Linotype" w:hAnsi="Palatino Linotype" w:cs="Palatino Linotype"/>
          <w:b/>
          <w:bCs/>
          <w:sz w:val="22"/>
        </w:rPr>
      </w:pPr>
      <w:r>
        <w:rPr>
          <w:rFonts w:cs="Palatino Linotype" w:ascii="Palatino Linotype" w:hAnsi="Palatino Linotype"/>
          <w:b/>
          <w:bCs/>
          <w:sz w:val="22"/>
        </w:rPr>
      </w:r>
    </w:p>
    <w:p>
      <w:pPr>
        <w:pStyle w:val="Normal"/>
        <w:autoSpaceDE w:val="false"/>
        <w:ind w:start="2160" w:end="0"/>
        <w:rPr/>
      </w:pPr>
      <w:r>
        <w:rPr>
          <w:rFonts w:cs="Palatino Linotype" w:ascii="Palatino Linotype" w:hAnsi="Palatino Linotype"/>
          <w:sz w:val="22"/>
        </w:rPr>
        <w:t>How have other states (or other countries) dealt with, or how do they plan to deal with impending energy shortages?  Which represents the best path forward for U.S. state and federal energy policy?</w:t>
      </w:r>
      <w:r>
        <w:rPr>
          <w:rFonts w:cs="Palatino Linotype" w:ascii="Palatino Linotype" w:hAnsi="Palatino Linotype"/>
          <w:b/>
          <w:bCs/>
          <w:sz w:val="22"/>
        </w:rPr>
        <w:t>”</w:t>
      </w:r>
    </w:p>
    <w:p>
      <w:pPr>
        <w:pStyle w:val="Normal"/>
        <w:keepNext w:val="true"/>
        <w:autoSpaceDE w:val="false"/>
        <w:ind w:start="2880" w:end="0"/>
        <w:rPr>
          <w:rFonts w:ascii="Palatino Linotype" w:hAnsi="Palatino Linotype" w:cs="Palatino Linotype"/>
          <w:b/>
          <w:bCs/>
          <w:sz w:val="22"/>
        </w:rPr>
      </w:pPr>
      <w:r>
        <w:rPr>
          <w:rFonts w:cs="Palatino Linotype" w:ascii="Palatino Linotype" w:hAnsi="Palatino Linotype"/>
          <w:b/>
          <w:bCs/>
          <w:sz w:val="22"/>
        </w:rPr>
      </w:r>
    </w:p>
    <w:p>
      <w:pPr>
        <w:pStyle w:val="Heading1"/>
        <w:rPr>
          <w:rFonts w:ascii="Palatino Linotype" w:hAnsi="Palatino Linotype" w:cs="Palatino Linotype"/>
          <w:sz w:val="22"/>
        </w:rPr>
      </w:pPr>
      <w:r>
        <w:rPr>
          <w:rFonts w:cs="Palatino Linotype" w:ascii="Palatino Linotype" w:hAnsi="Palatino Linotype"/>
          <w:sz w:val="22"/>
          <w:u w:val="none"/>
        </w:rPr>
        <w:t>Opening Remarks:  John Hanger, Former Pennsylvania PUC Commissioner*</w:t>
      </w:r>
    </w:p>
    <w:p>
      <w:pPr>
        <w:pStyle w:val="Normal"/>
        <w:ind w:hanging="2880" w:start="2880" w:end="0"/>
        <w:rPr>
          <w:rFonts w:ascii="Palatino Linotype" w:hAnsi="Palatino Linotype" w:cs="Palatino Linotype"/>
          <w:sz w:val="22"/>
        </w:rPr>
      </w:pPr>
      <w:r>
        <w:rPr>
          <w:rFonts w:cs="Palatino Linotype" w:ascii="Palatino Linotype" w:hAnsi="Palatino Linotype"/>
          <w:sz w:val="22"/>
        </w:rPr>
      </w:r>
    </w:p>
    <w:p>
      <w:pPr>
        <w:pStyle w:val="Normal"/>
        <w:keepNext w:val="true"/>
        <w:autoSpaceDE w:val="false"/>
        <w:ind w:start="2160" w:end="0"/>
        <w:rPr>
          <w:rFonts w:ascii="Palatino Linotype" w:hAnsi="Palatino Linotype" w:cs="Palatino Linotype"/>
          <w:sz w:val="22"/>
          <w:u w:val="single"/>
        </w:rPr>
      </w:pPr>
      <w:r>
        <w:rPr>
          <w:rFonts w:cs="Palatino Linotype" w:ascii="Palatino Linotype" w:hAnsi="Palatino Linotype"/>
          <w:sz w:val="22"/>
          <w:u w:val="single"/>
        </w:rPr>
        <w:t>Featured Commentators</w:t>
      </w:r>
    </w:p>
    <w:p>
      <w:pPr>
        <w:pStyle w:val="Normal"/>
        <w:keepNext w:val="true"/>
        <w:autoSpaceDE w:val="false"/>
        <w:ind w:start="2160" w:end="0"/>
        <w:rPr>
          <w:rStyle w:val="abstract1"/>
          <w:rFonts w:ascii="Palatino Linotype" w:hAnsi="Palatino Linotype" w:cs="Palatino Linotype"/>
          <w:i/>
          <w:i/>
          <w:iCs/>
          <w:color w:val="000000"/>
          <w:sz w:val="22"/>
          <w:szCs w:val="24"/>
        </w:rPr>
      </w:pPr>
      <w:r>
        <w:rPr>
          <w:rFonts w:cs="Palatino Linotype" w:ascii="Palatino Linotype" w:hAnsi="Palatino Linotype"/>
          <w:sz w:val="22"/>
          <w:u w:val="single"/>
        </w:rPr>
      </w:r>
    </w:p>
    <w:p>
      <w:pPr>
        <w:pStyle w:val="Normal"/>
        <w:numPr>
          <w:ilvl w:val="0"/>
          <w:numId w:val="3"/>
        </w:numPr>
        <w:rPr>
          <w:rFonts w:ascii="Palatino Linotype" w:hAnsi="Palatino Linotype" w:cs="Palatino Linotype"/>
          <w:sz w:val="22"/>
        </w:rPr>
      </w:pPr>
      <w:r>
        <w:rPr>
          <w:rFonts w:cs="Palatino Linotype" w:ascii="Palatino Linotype" w:hAnsi="Palatino Linotype"/>
          <w:sz w:val="22"/>
        </w:rPr>
        <w:t>David Moskovitz, Principal, The Regulatory Assistance Project*</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Steve Wolens, State Representative, District 103, Texas*</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William J. Museler, President &amp; CEO, NYISO*</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Peter Fox-Penner, Chairman, Brattle Group*</w:t>
      </w:r>
    </w:p>
    <w:p>
      <w:pPr>
        <w:pStyle w:val="Normal"/>
        <w:numPr>
          <w:ilvl w:val="0"/>
          <w:numId w:val="3"/>
        </w:numPr>
        <w:rPr>
          <w:rFonts w:ascii="Palatino Linotype" w:hAnsi="Palatino Linotype" w:cs="Palatino Linotype"/>
          <w:sz w:val="22"/>
        </w:rPr>
      </w:pPr>
      <w:r>
        <w:rPr>
          <w:rFonts w:cs="Palatino Linotype" w:ascii="Palatino Linotype" w:hAnsi="Palatino Linotype"/>
          <w:sz w:val="22"/>
          <w:szCs w:val="20"/>
        </w:rPr>
        <w:t>Dennis E. Eyre, Executive Director, Western Systems Coordinating Council</w:t>
      </w:r>
    </w:p>
    <w:p>
      <w:pPr>
        <w:pStyle w:val="Normal"/>
        <w:numPr>
          <w:ilvl w:val="0"/>
          <w:numId w:val="3"/>
        </w:numPr>
        <w:rPr>
          <w:rFonts w:ascii="Palatino Linotype" w:hAnsi="Palatino Linotype" w:cs="Palatino Linotype"/>
          <w:sz w:val="22"/>
        </w:rPr>
      </w:pPr>
      <w:r>
        <w:rPr>
          <w:rFonts w:cs="Palatino Linotype" w:ascii="Palatino Linotype" w:hAnsi="Palatino Linotype"/>
          <w:sz w:val="22"/>
        </w:rPr>
        <w:t>Larry Ruff, Independent Consultant and Former Senior Vice President, National Economic Research Associates (NERA)*</w:t>
      </w:r>
    </w:p>
    <w:p>
      <w:pPr>
        <w:pStyle w:val="Normal"/>
        <w:keepNext w:val="true"/>
        <w:numPr>
          <w:ilvl w:val="0"/>
          <w:numId w:val="3"/>
        </w:numPr>
        <w:autoSpaceDE w:val="false"/>
        <w:rPr>
          <w:rFonts w:ascii="Palatino Linotype" w:hAnsi="Palatino Linotype" w:cs="Palatino Linotype"/>
          <w:sz w:val="22"/>
          <w:u w:val="single"/>
        </w:rPr>
      </w:pPr>
      <w:r>
        <w:rPr>
          <w:rFonts w:cs="Palatino Linotype" w:ascii="Palatino Linotype" w:hAnsi="Palatino Linotype"/>
          <w:sz w:val="22"/>
        </w:rPr>
        <w:t xml:space="preserve">Stephen Littlechild, Director, London Economics Consulting Group, Former </w:t>
      </w:r>
      <w:r>
        <w:rPr>
          <w:rFonts w:cs="Palatino Linotype" w:ascii="Palatino Linotype" w:hAnsi="Palatino Linotype"/>
          <w:sz w:val="22"/>
          <w:szCs w:val="20"/>
        </w:rPr>
        <w:t>UK Director General of Electricity Supply</w:t>
      </w:r>
    </w:p>
    <w:p>
      <w:pPr>
        <w:pStyle w:val="Normal"/>
        <w:keepNext w:val="true"/>
        <w:numPr>
          <w:ilvl w:val="0"/>
          <w:numId w:val="3"/>
        </w:numPr>
        <w:autoSpaceDE w:val="false"/>
        <w:rPr>
          <w:rFonts w:ascii="Palatino Linotype" w:hAnsi="Palatino Linotype" w:cs="Palatino Linotype"/>
          <w:sz w:val="22"/>
          <w:u w:val="single"/>
        </w:rPr>
      </w:pPr>
      <w:r>
        <w:rPr>
          <w:rFonts w:cs="Palatino Linotype" w:ascii="Palatino Linotype" w:hAnsi="Palatino Linotype"/>
          <w:sz w:val="22"/>
        </w:rPr>
        <w:t xml:space="preserve">Rebecca Smith, Reporter, </w:t>
      </w:r>
      <w:r>
        <w:rPr>
          <w:rFonts w:cs="Palatino Linotype" w:ascii="Palatino Linotype" w:hAnsi="Palatino Linotype"/>
          <w:i/>
          <w:iCs/>
          <w:sz w:val="22"/>
        </w:rPr>
        <w:t>The Wall Street Journal</w:t>
      </w:r>
    </w:p>
    <w:p>
      <w:pPr>
        <w:pStyle w:val="Normal"/>
        <w:keepNext w:val="true"/>
        <w:numPr>
          <w:ilvl w:val="0"/>
          <w:numId w:val="3"/>
        </w:numPr>
        <w:autoSpaceDE w:val="false"/>
        <w:rPr>
          <w:rFonts w:ascii="Palatino Linotype" w:hAnsi="Palatino Linotype" w:cs="Palatino Linotype"/>
          <w:sz w:val="22"/>
          <w:u w:val="single"/>
        </w:rPr>
      </w:pPr>
      <w:r>
        <w:rPr>
          <w:rFonts w:cs="Palatino Linotype" w:ascii="Palatino Linotype" w:hAnsi="Palatino Linotype"/>
          <w:sz w:val="22"/>
        </w:rPr>
        <w:t xml:space="preserve">Rich Oppel, Reporter, </w:t>
      </w:r>
      <w:r>
        <w:rPr>
          <w:rFonts w:cs="Palatino Linotype" w:ascii="Palatino Linotype" w:hAnsi="Palatino Linotype"/>
          <w:i/>
          <w:iCs/>
          <w:sz w:val="22"/>
        </w:rPr>
        <w:t>The New York Times</w:t>
      </w:r>
    </w:p>
    <w:p>
      <w:pPr>
        <w:pStyle w:val="Normal"/>
        <w:keepNext w:val="true"/>
        <w:autoSpaceDE w:val="false"/>
        <w:rPr>
          <w:rFonts w:ascii="Palatino Linotype" w:hAnsi="Palatino Linotype" w:cs="Palatino Linotype"/>
          <w:i/>
          <w:i/>
          <w:iCs/>
          <w:sz w:val="22"/>
          <w:u w:val="single"/>
        </w:rPr>
      </w:pPr>
      <w:r>
        <w:rPr>
          <w:rFonts w:cs="Palatino Linotype" w:ascii="Palatino Linotype" w:hAnsi="Palatino Linotype"/>
          <w:i/>
          <w:iCs/>
          <w:sz w:val="22"/>
          <w:u w:val="single"/>
        </w:rPr>
      </w:r>
    </w:p>
    <w:p>
      <w:pPr>
        <w:pStyle w:val="Normal"/>
        <w:keepNext w:val="true"/>
        <w:autoSpaceDE w:val="false"/>
        <w:rPr>
          <w:rFonts w:ascii="Palatino Linotype" w:hAnsi="Palatino Linotype" w:cs="Palatino Linotype"/>
          <w:i/>
          <w:i/>
          <w:iCs/>
          <w:sz w:val="22"/>
          <w:u w:val="single"/>
        </w:rPr>
      </w:pPr>
      <w:r>
        <w:rPr>
          <w:rFonts w:cs="Palatino Linotype" w:ascii="Palatino Linotype" w:hAnsi="Palatino Linotype"/>
          <w:i/>
          <w:iCs/>
          <w:sz w:val="22"/>
          <w:u w:val="single"/>
        </w:rPr>
      </w:r>
    </w:p>
    <w:p>
      <w:pPr>
        <w:pStyle w:val="Normal"/>
        <w:keepNext w:val="true"/>
        <w:autoSpaceDE w:val="false"/>
        <w:rPr>
          <w:rFonts w:ascii="Palatino Linotype" w:hAnsi="Palatino Linotype" w:cs="Palatino Linotype"/>
          <w:i/>
          <w:i/>
          <w:iCs/>
          <w:sz w:val="22"/>
        </w:rPr>
      </w:pPr>
      <w:r>
        <w:rPr>
          <w:rFonts w:cs="Palatino Linotype" w:ascii="Palatino Linotype" w:hAnsi="Palatino Linotype"/>
          <w:i/>
          <w:iCs/>
          <w:sz w:val="22"/>
        </w:rPr>
      </w:r>
    </w:p>
    <w:p>
      <w:pPr>
        <w:pStyle w:val="Normal"/>
        <w:keepNext w:val="true"/>
        <w:autoSpaceDE w:val="false"/>
        <w:rPr>
          <w:rFonts w:ascii="Palatino Linotype" w:hAnsi="Palatino Linotype" w:cs="Palatino Linotype"/>
          <w:sz w:val="22"/>
        </w:rPr>
      </w:pPr>
      <w:r>
        <w:rPr>
          <w:rFonts w:cs="Palatino Linotype" w:ascii="Palatino Linotype" w:hAnsi="Palatino Linotype"/>
          <w:sz w:val="22"/>
        </w:rPr>
        <w:t xml:space="preserve">* indicates confirmation to participate as of  7/31/01. </w:t>
      </w:r>
    </w:p>
    <w:sectPr>
      <w:footerReference w:type="default" r:id="rId2"/>
      <w:type w:val="nextPage"/>
      <w:pgSz w:w="12240" w:h="15840"/>
      <w:pgMar w:left="1008" w:right="1008"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Frutiger 55 Roman">
    <w:charset w:val="00" w:characterSet="windows-1252"/>
    <w:family w:val="swiss"/>
    <w:pitch w:val="variable"/>
  </w:font>
  <w:font w:name="Arial Unicode MS">
    <w:charset w:val="80"/>
    <w:family w:val="swiss"/>
    <w:pitch w:val="variable"/>
  </w:font>
  <w:font w:name="Palatino Linotyp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Fonts w:cs="Palatino Linotype" w:ascii="Palatino Linotype" w:hAnsi="Palatino Linotype"/>
        <w:sz w:val="18"/>
      </w:rPr>
      <w:t xml:space="preserve">Page </w:t>
    </w:r>
    <w:r>
      <w:rPr>
        <w:rStyle w:val="PageNumber"/>
        <w:rFonts w:cs="Palatino Linotype" w:ascii="Palatino Linotype" w:hAnsi="Palatino Linotype"/>
        <w:sz w:val="18"/>
      </w:rPr>
      <w:fldChar w:fldCharType="begin"/>
    </w:r>
    <w:r>
      <w:rPr>
        <w:rStyle w:val="PageNumber"/>
        <w:sz w:val="18"/>
        <w:rFonts w:cs="Palatino Linotype" w:ascii="Palatino Linotype" w:hAnsi="Palatino Linotype"/>
      </w:rPr>
      <w:instrText xml:space="preserve"> PAGE </w:instrText>
    </w:r>
    <w:r>
      <w:rPr>
        <w:rStyle w:val="PageNumber"/>
        <w:sz w:val="18"/>
        <w:rFonts w:cs="Palatino Linotype" w:ascii="Palatino Linotype" w:hAnsi="Palatino Linotype"/>
      </w:rPr>
      <w:fldChar w:fldCharType="separate"/>
    </w:r>
    <w:r>
      <w:rPr>
        <w:rStyle w:val="PageNumber"/>
        <w:sz w:val="18"/>
        <w:rFonts w:cs="Palatino Linotype" w:ascii="Palatino Linotype" w:hAnsi="Palatino Linotype"/>
      </w:rPr>
      <w:t>4</w:t>
    </w:r>
    <w:r>
      <w:rPr>
        <w:rStyle w:val="PageNumber"/>
        <w:sz w:val="18"/>
        <w:rFonts w:cs="Palatino Linotype" w:ascii="Palatino Linotype" w:hAnsi="Palatino Linotype"/>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520"/>
        </w:tabs>
        <w:ind w:start="2520" w:hanging="360"/>
      </w:pPr>
      <w:rPr>
        <w:rFonts w:ascii="Symbol" w:hAnsi="Symbol" w:cs="Symbol" w:hint="default"/>
      </w:rPr>
    </w:lvl>
  </w:abstractNum>
  <w:abstractNum w:abstractNumId="3">
    <w:lvl w:ilvl="0">
      <w:start w:val="1"/>
      <w:numFmt w:val="bullet"/>
      <w:lvlText w:val=""/>
      <w:lvlJc w:val="start"/>
      <w:pPr>
        <w:tabs>
          <w:tab w:val="num" w:pos="2520"/>
        </w:tabs>
        <w:ind w:start="2520" w:hanging="360"/>
      </w:pPr>
      <w:rPr>
        <w:rFonts w:ascii="Symbol" w:hAnsi="Symbol" w:cs="Symbol" w:hint="default"/>
      </w:rPr>
    </w:lvl>
  </w:abstractNum>
  <w:abstractNum w:abstractNumId="4">
    <w:lvl w:ilvl="0">
      <w:start w:val="1"/>
      <w:numFmt w:val="bullet"/>
      <w:lvlText w:val=""/>
      <w:lvlJc w:val="start"/>
      <w:pPr>
        <w:tabs>
          <w:tab w:val="num" w:pos="2520"/>
        </w:tabs>
        <w:ind w:start="25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2160" w:end="0"/>
      <w:outlineLvl w:val="0"/>
    </w:pPr>
    <w:rPr>
      <w:u w:val="single"/>
    </w:rPr>
  </w:style>
  <w:style w:type="paragraph" w:styleId="Heading2">
    <w:name w:val="heading 2"/>
    <w:basedOn w:val="Normal"/>
    <w:next w:val="Normal"/>
    <w:qFormat/>
    <w:pPr>
      <w:keepNext w:val="true"/>
      <w:numPr>
        <w:ilvl w:val="1"/>
        <w:numId w:val="1"/>
      </w:numPr>
      <w:autoSpaceDE w:val="false"/>
      <w:ind w:hanging="2160" w:start="2160" w:end="0"/>
      <w:outlineLvl w:val="1"/>
    </w:pPr>
    <w:rPr>
      <w:b/>
      <w:bCs/>
    </w:rPr>
  </w:style>
  <w:style w:type="paragraph" w:styleId="Heading3">
    <w:name w:val="heading 3"/>
    <w:basedOn w:val="Normal"/>
    <w:next w:val="Normal"/>
    <w:qFormat/>
    <w:pPr>
      <w:keepNext w:val="true"/>
      <w:numPr>
        <w:ilvl w:val="2"/>
        <w:numId w:val="1"/>
      </w:numPr>
      <w:autoSpaceDE w:val="false"/>
      <w:jc w:val="center"/>
      <w:outlineLvl w:val="2"/>
    </w:pPr>
    <w:rPr>
      <w:b/>
      <w:bCs/>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keepNext w:val="true"/>
      <w:numPr>
        <w:ilvl w:val="5"/>
        <w:numId w:val="1"/>
      </w:numPr>
      <w:jc w:val="center"/>
      <w:outlineLvl w:val="5"/>
    </w:pPr>
    <w:rPr>
      <w:rFonts w:ascii="Garamond" w:hAnsi="Garamond" w:cs="Garamond"/>
      <w:b/>
      <w:sz w:val="18"/>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keepNext w:val="true"/>
      <w:numPr>
        <w:ilvl w:val="7"/>
        <w:numId w:val="1"/>
      </w:numPr>
      <w:ind w:hanging="0" w:start="2160" w:end="0"/>
      <w:outlineLvl w:val="7"/>
    </w:pPr>
    <w:rPr>
      <w:rFonts w:ascii="Garamond" w:hAnsi="Garamond" w:cs="Garamond"/>
      <w:sz w:val="22"/>
      <w:szCs w:val="20"/>
      <w:u w:val="single"/>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2">
    <w:name w:val="WW8Num12z2"/>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z w:val="28"/>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St1z0">
    <w:name w:val="WW8NumSt1z0"/>
    <w:qFormat/>
    <w:rPr>
      <w:rFonts w:ascii="Symbol" w:hAnsi="Symbol" w:cs="Symbol"/>
    </w:rPr>
  </w:style>
  <w:style w:type="character" w:styleId="WW8NumSt1z1">
    <w:name w:val="WW8NumSt1z1"/>
    <w:qFormat/>
    <w:rPr>
      <w:rFonts w:ascii="Courier New" w:hAnsi="Courier New" w:cs="Courier New"/>
    </w:rPr>
  </w:style>
  <w:style w:type="character" w:styleId="WW8NumSt1z2">
    <w:name w:val="WW8NumSt1z2"/>
    <w:qFormat/>
    <w:rPr>
      <w:rFonts w:ascii="Wingdings" w:hAnsi="Wingdings" w:cs="Wingdings"/>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character" w:styleId="pagecolumnheaders1">
    <w:name w:val="pagecolumnheaders1"/>
    <w:basedOn w:val="DefaultParagraphFont"/>
    <w:qFormat/>
    <w:rPr>
      <w:rFonts w:ascii="Arial" w:hAnsi="Arial" w:cs="Arial"/>
      <w:b/>
      <w:bCs/>
      <w:strike w:val="false"/>
      <w:dstrike w:val="false"/>
      <w:sz w:val="20"/>
      <w:szCs w:val="20"/>
      <w:u w:val="none"/>
    </w:rPr>
  </w:style>
  <w:style w:type="character" w:styleId="abstract1">
    <w:name w:val="abstract1"/>
    <w:basedOn w:val="DefaultParagraphFont"/>
    <w:qFormat/>
    <w:rPr>
      <w:strike w:val="false"/>
      <w:dstrike w:val="false"/>
      <w:color w:val="000000"/>
      <w:sz w:val="16"/>
      <w:szCs w:val="16"/>
      <w:u w:val="none"/>
    </w:rPr>
  </w:style>
  <w:style w:type="character" w:styleId="Emphasis">
    <w:name w:val="Emphasis"/>
    <w:basedOn w:val="DefaultParagraphFont"/>
    <w:qFormat/>
    <w:rPr>
      <w:i/>
      <w:iCs/>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autoSpaceDE w:val="false"/>
      <w:jc w:val="center"/>
    </w:pPr>
    <w:rPr>
      <w:rFonts w:ascii="Frutiger 55 Roman" w:hAnsi="Frutiger 55 Roman" w:cs="Frutiger 55 Roman"/>
      <w:b/>
      <w:bCs/>
      <w:smallCap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Garamond" w:hAnsi="Garamond" w:cs="Garamond"/>
    </w:rPr>
  </w:style>
  <w:style w:type="paragraph" w:styleId="BodyTextIndent2">
    <w:name w:val="Body Text Indent 2"/>
    <w:basedOn w:val="Normal"/>
    <w:qFormat/>
    <w:pPr>
      <w:autoSpaceDE w:val="false"/>
      <w:ind w:hanging="0" w:start="2160" w:end="0"/>
    </w:pPr>
    <w:rPr>
      <w:b/>
    </w:rPr>
  </w:style>
  <w:style w:type="paragraph" w:styleId="BodyTextIndent3">
    <w:name w:val="Body Text Indent 3"/>
    <w:basedOn w:val="Normal"/>
    <w:qFormat/>
    <w:pPr>
      <w:autoSpaceDE w:val="false"/>
      <w:ind w:hanging="0" w:start="1440" w:end="0"/>
    </w:pPr>
    <w:rPr>
      <w:b/>
      <w:bCs/>
    </w:rPr>
  </w:style>
  <w:style w:type="paragraph" w:styleId="BodyText2">
    <w:name w:val="Body Text 2"/>
    <w:basedOn w:val="Normal"/>
    <w:qFormat/>
    <w:pPr>
      <w:autoSpaceDE w:val="false"/>
    </w:pPr>
    <w:rPr>
      <w:b/>
      <w:bCs/>
      <w:color w:val="000000"/>
    </w:rPr>
  </w:style>
  <w:style w:type="paragraph" w:styleId="BodyText3">
    <w:name w:val="Body Text 3"/>
    <w:basedOn w:val="Normal"/>
    <w:qFormat/>
    <w:pPr>
      <w:autoSpaceDE w:val="false"/>
      <w:jc w:val="center"/>
    </w:pPr>
    <w:rPr>
      <w:b/>
      <w:bCs/>
      <w:smallCaps/>
      <w:sz w:val="28"/>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2001-08-06T13:28:00Z</dcterms:created>
  <dc:creator>AWyllie</dc:creator>
  <dc:description/>
  <dc:language>en-CA</dc:language>
  <cp:lastModifiedBy>mallen3</cp:lastModifiedBy>
  <cp:lastPrinted>2001-07-27T11:14:00Z</cp:lastPrinted>
  <dcterms:modified xsi:type="dcterms:W3CDTF">2001-08-06T13:28:00Z</dcterms:modified>
  <cp:revision>2</cp:revision>
  <dc:subject/>
  <dc:title>THE NEWMARKET INSTITUTES PRESENT:</dc:title>
</cp:coreProperties>
</file>