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720"/>
        <w:rPr>
          <w:rFonts w:ascii="Book Antiqua" w:hAnsi="Book Antiqua" w:cs="Book Antiqua"/>
          <w:b/>
          <w:sz w:val="40"/>
        </w:rPr>
      </w:pPr>
      <w:r>
        <w:rPr>
          <w:rFonts w:cs="Book Antiqua" w:ascii="Book Antiqua" w:hAnsi="Book Antiqua"/>
          <w:b/>
          <w:sz w:val="40"/>
        </w:rPr>
      </w:r>
    </w:p>
    <w:p>
      <w:pPr>
        <w:pStyle w:val="Normal"/>
        <w:ind w:start="-720" w:end="-720"/>
        <w:jc w:val="center"/>
        <w:rPr>
          <w:rFonts w:ascii="Book Antiqua" w:hAnsi="Book Antiqua" w:cs="Book Antiqua"/>
          <w:sz w:val="40"/>
        </w:rPr>
      </w:pPr>
      <w:r>
        <w:object w:dxaOrig="1035" w:dyaOrig="134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92.6pt;margin-top:55.9pt;width:68.3pt;height:8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46222728" r:id="rId2"/>
        </w:object>
      </w:r>
      <w:r>
        <w:rPr>
          <w:rFonts w:cs="Book Antiqua" w:ascii="Book Antiqua" w:hAnsi="Book Antiqua"/>
          <w:sz w:val="40"/>
        </w:rPr>
        <w:t xml:space="preserve">Enron </w:t>
      </w:r>
    </w:p>
    <w:p>
      <w:pPr>
        <w:pStyle w:val="Heading1"/>
        <w:ind w:start="-1530" w:end="-720"/>
        <w:rPr>
          <w:rFonts w:ascii="Book Antiqua" w:hAnsi="Book Antiqua" w:cs="Book Antiqua"/>
          <w:sz w:val="40"/>
        </w:rPr>
      </w:pPr>
      <w:r>
        <w:rPr>
          <w:rFonts w:eastAsia="Book Antiqua" w:cs="Book Antiqua" w:ascii="Book Antiqua" w:hAnsi="Book Antiqua"/>
          <w:sz w:val="40"/>
        </w:rPr>
        <w:t xml:space="preserve">        </w:t>
      </w:r>
      <w:r>
        <w:rPr>
          <w:rFonts w:cs="Book Antiqua" w:ascii="Book Antiqua" w:hAnsi="Book Antiqua"/>
          <w:sz w:val="40"/>
        </w:rPr>
        <w:t>Welcomes</w:t>
      </w:r>
    </w:p>
    <w:p>
      <w:pPr>
        <w:pStyle w:val="Normal"/>
        <w:rPr>
          <w:rFonts w:ascii="Book Antiqua" w:hAnsi="Book Antiqua" w:cs="Book Antiqua"/>
          <w:sz w:val="40"/>
        </w:rPr>
      </w:pPr>
      <w:r>
        <w:rPr>
          <w:rFonts w:cs="Book Antiqua" w:ascii="Book Antiqua" w:hAnsi="Book Antiqua"/>
          <w:sz w:val="40"/>
        </w:rPr>
      </w:r>
    </w:p>
    <w:p>
      <w:pPr>
        <w:pStyle w:val="Heading9"/>
        <w:ind w:hanging="0" w:start="0"/>
        <w:rPr>
          <w:sz w:val="36"/>
        </w:rPr>
      </w:pPr>
      <w:r>
        <w:rPr>
          <w:sz w:val="36"/>
        </w:rPr>
        <w:t>May 1, 2000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 Antiqua" w:hAnsi="Book Antiqua" w:cs="Book Antiqua"/>
          <w:b/>
          <w:sz w:val="36"/>
        </w:rPr>
      </w:pPr>
      <w:r>
        <w:rPr>
          <w:rFonts w:cs="Book Antiqua" w:ascii="Book Antiqua" w:hAnsi="Book Antiqua"/>
          <w:b/>
          <w:sz w:val="36"/>
        </w:rPr>
        <w:t>Agenda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 Antiqua" w:hAnsi="Book Antiqua" w:cs="Book Antiqua"/>
          <w:b/>
          <w:i/>
          <w:i/>
          <w:sz w:val="28"/>
        </w:rPr>
      </w:pPr>
      <w:r>
        <w:rPr>
          <w:rFonts w:cs="Book Antiqua" w:ascii="Book Antiqua" w:hAnsi="Book Antiqua"/>
          <w:b/>
          <w:i/>
          <w:sz w:val="28"/>
        </w:rPr>
        <w:t>Venue: Enron Building, 1400 Smith Conference Room 47C2</w:t>
      </w:r>
    </w:p>
    <w:p>
      <w:pPr>
        <w:pStyle w:val="Normal"/>
        <w:pBdr>
          <w:top w:val="single" w:sz="4" w:space="6" w:color="000000" w:shadow="1"/>
          <w:left w:val="single" w:sz="4" w:space="31" w:color="000000" w:shadow="1"/>
          <w:bottom w:val="single" w:sz="4" w:space="13" w:color="000000" w:shadow="1"/>
          <w:right w:val="single" w:sz="4" w:space="31" w:color="000000" w:shadow="1"/>
        </w:pBdr>
        <w:shd w:fill="F2F2F2" w:val="clear"/>
        <w:jc w:val="center"/>
        <w:rPr>
          <w:rFonts w:ascii="Bookman Old Style" w:hAnsi="Bookman Old Style" w:cs="Bookman Old Style"/>
          <w:b/>
          <w:i/>
          <w:i/>
          <w:sz w:val="28"/>
        </w:rPr>
      </w:pPr>
      <w:r>
        <w:rPr>
          <w:rFonts w:cs="Book Antiqua" w:ascii="Book Antiqua" w:hAnsi="Book Antiqua"/>
          <w:b/>
          <w:i/>
          <w:sz w:val="28"/>
        </w:rPr>
        <w:t>Attire:  Business</w:t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i/>
          <w:i/>
          <w:sz w:val="24"/>
        </w:rPr>
      </w:pPr>
      <w:r>
        <w:rPr>
          <w:rFonts w:cs="Book Antiqua" w:ascii="Book Antiqua" w:hAnsi="Book Antiqua"/>
          <w:b w:val="false"/>
          <w:i/>
          <w:sz w:val="24"/>
        </w:rPr>
      </w:r>
    </w:p>
    <w:p>
      <w:pPr>
        <w:pStyle w:val="BlockText"/>
        <w:pBdr>
          <w:bottom w:val="single" w:sz="4" w:space="1" w:color="000000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sz w:val="24"/>
        </w:rPr>
        <w:t>Time</w:t>
        <w:tab/>
        <w:tab/>
        <w:t>Topic</w:t>
        <w:tab/>
        <w:tab/>
        <w:tab/>
        <w:tab/>
        <w:tab/>
        <w:tab/>
        <w:tab/>
        <w:t>Enron Discussion Leader</w:t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1:00 – 1:05</w:t>
        <w:tab/>
        <w:t>Check – in at Security Desk/Welcome &amp; Agenda Review</w:t>
        <w:tab/>
        <w:t>Carrie Robért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1:10 –1:20</w:t>
        <w:tab/>
        <w:t>Gaz de France Overview</w:t>
        <w:tab/>
        <w:tab/>
        <w:tab/>
        <w:tab/>
        <w:tab/>
        <w:t>Gaz de France Representative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1:20 – 2:15</w:t>
        <w:tab/>
        <w:t>Enron &amp; the U.S. Gas Industry</w:t>
        <w:tab/>
        <w:tab/>
        <w:tab/>
        <w:tab/>
        <w:t>Shelley Corman/</w:t>
      </w:r>
    </w:p>
    <w:p>
      <w:pPr>
        <w:pStyle w:val="BlockText"/>
        <w:numPr>
          <w:ilvl w:val="0"/>
          <w:numId w:val="3"/>
        </w:numPr>
        <w:pBdr>
          <w:bottom w:val="nil"/>
        </w:pBdr>
        <w:tabs>
          <w:tab w:val="clear" w:pos="720"/>
          <w:tab w:val="left" w:pos="1080" w:leader="none"/>
        </w:tabs>
        <w:ind w:hanging="360" w:start="10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Enron Overview</w:t>
        <w:tab/>
        <w:tab/>
        <w:tab/>
        <w:tab/>
        <w:tab/>
        <w:tab/>
        <w:t>Robert Neustaedter</w:t>
      </w:r>
    </w:p>
    <w:p>
      <w:pPr>
        <w:pStyle w:val="BlockText"/>
        <w:numPr>
          <w:ilvl w:val="0"/>
          <w:numId w:val="2"/>
        </w:numPr>
        <w:pBdr>
          <w:bottom w:val="nil"/>
        </w:pBdr>
        <w:tabs>
          <w:tab w:val="clear" w:pos="720"/>
          <w:tab w:val="left" w:pos="1080" w:leader="none"/>
        </w:tabs>
        <w:ind w:hanging="360" w:start="10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Structure of U.S. Gas Industry</w:t>
        <w:tab/>
        <w:tab/>
        <w:tab/>
        <w:tab/>
      </w:r>
    </w:p>
    <w:p>
      <w:pPr>
        <w:pStyle w:val="BlockText"/>
        <w:numPr>
          <w:ilvl w:val="0"/>
          <w:numId w:val="2"/>
        </w:numPr>
        <w:pBdr>
          <w:bottom w:val="nil"/>
        </w:pBdr>
        <w:tabs>
          <w:tab w:val="clear" w:pos="720"/>
          <w:tab w:val="left" w:pos="1080" w:leader="none"/>
        </w:tabs>
        <w:ind w:hanging="360" w:start="10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Regulatory History</w:t>
      </w:r>
    </w:p>
    <w:p>
      <w:pPr>
        <w:pStyle w:val="BlockText"/>
        <w:numPr>
          <w:ilvl w:val="0"/>
          <w:numId w:val="2"/>
        </w:numPr>
        <w:pBdr>
          <w:bottom w:val="nil"/>
        </w:pBdr>
        <w:tabs>
          <w:tab w:val="clear" w:pos="720"/>
          <w:tab w:val="left" w:pos="1080" w:leader="none"/>
        </w:tabs>
        <w:ind w:hanging="360" w:start="10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Open Access and Unbundling</w:t>
      </w:r>
    </w:p>
    <w:p>
      <w:pPr>
        <w:pStyle w:val="BlockText"/>
        <w:numPr>
          <w:ilvl w:val="0"/>
          <w:numId w:val="2"/>
        </w:numPr>
        <w:pBdr>
          <w:bottom w:val="nil"/>
        </w:pBdr>
        <w:tabs>
          <w:tab w:val="clear" w:pos="720"/>
          <w:tab w:val="left" w:pos="1080" w:leader="none"/>
        </w:tabs>
        <w:ind w:hanging="360" w:start="10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The U.S. Gas Market Today</w:t>
      </w:r>
    </w:p>
    <w:p>
      <w:pPr>
        <w:pStyle w:val="BlockText"/>
        <w:numPr>
          <w:ilvl w:val="0"/>
          <w:numId w:val="2"/>
        </w:numPr>
        <w:pBdr>
          <w:bottom w:val="nil"/>
        </w:pBdr>
        <w:tabs>
          <w:tab w:val="clear" w:pos="720"/>
          <w:tab w:val="left" w:pos="1080" w:leader="none"/>
        </w:tabs>
        <w:ind w:hanging="360" w:start="108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Enron’s Experiences in the Restructured Gas Market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2:15 – 2:30</w:t>
        <w:tab/>
        <w:t>The Growth Enron’s Wholesale Business</w:t>
        <w:tab/>
        <w:tab/>
        <w:tab/>
        <w:t>Stephanie Miller</w:t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 xml:space="preserve">2:30 – 2:45 </w:t>
        <w:tab/>
        <w:t>Break</w:t>
      </w:r>
    </w:p>
    <w:p>
      <w:pPr>
        <w:pStyle w:val="Normal"/>
        <w:tabs>
          <w:tab w:val="clear" w:pos="720"/>
          <w:tab w:val="left" w:pos="-1350" w:leader="none"/>
        </w:tabs>
        <w:ind w:hanging="720" w:end="-720"/>
        <w:rPr>
          <w:rFonts w:ascii="Book Antiqua" w:hAnsi="Book Antiqua" w:cs="Book Antiqua"/>
          <w:b/>
          <w:sz w:val="22"/>
        </w:rPr>
      </w:pPr>
      <w:r>
        <w:rPr>
          <w:rFonts w:cs="Book Antiqua" w:ascii="Book Antiqua" w:hAnsi="Book Antiqua"/>
          <w:b/>
          <w:sz w:val="22"/>
        </w:rPr>
      </w:r>
    </w:p>
    <w:p>
      <w:pPr>
        <w:pStyle w:val="Normal"/>
        <w:tabs>
          <w:tab w:val="clear" w:pos="720"/>
          <w:tab w:val="left" w:pos="-1350" w:leader="none"/>
        </w:tabs>
        <w:ind w:hanging="720"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2:45 - 3:15</w:t>
        <w:tab/>
        <w:t>Current U.S. Market and Market Players</w:t>
        <w:tab/>
        <w:tab/>
        <w:tab/>
        <w:t>Margaret Carson</w:t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tabs>
          <w:tab w:val="clear" w:pos="720"/>
          <w:tab w:val="left" w:pos="-1350" w:leader="none"/>
        </w:tabs>
        <w:ind w:hanging="720"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  <w:t>3:15 – 3:30</w:t>
        <w:tab/>
        <w:t>Trading Floor Tour</w:t>
        <w:tab/>
        <w:tab/>
        <w:tab/>
        <w:tab/>
        <w:tab/>
        <w:tab/>
        <w:t>Hunter Shively</w:t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eastAsia="Book Antiqua" w:cs="Book Antiqua"/>
          <w:sz w:val="22"/>
        </w:rPr>
      </w:pPr>
      <w:r>
        <w:rPr>
          <w:rFonts w:eastAsia="Book Antiqua" w:cs="Book Antiqua" w:ascii="Book Antiqua" w:hAnsi="Book Antiqua"/>
          <w:sz w:val="22"/>
        </w:rPr>
        <w:t xml:space="preserve"> </w:t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Normal"/>
        <w:tabs>
          <w:tab w:val="clear" w:pos="720"/>
          <w:tab w:val="left" w:pos="-1350" w:leader="none"/>
        </w:tabs>
        <w:ind w:end="-720"/>
        <w:rPr>
          <w:rFonts w:ascii="Book Antiqua" w:hAnsi="Book Antiqua" w:cs="Book Antiqua"/>
          <w:sz w:val="22"/>
        </w:rPr>
      </w:pPr>
      <w:r>
        <w:rPr>
          <w:rFonts w:cs="Book Antiqua" w:ascii="Book Antiqua" w:hAnsi="Book Antiqua"/>
          <w:sz w:val="22"/>
        </w:rPr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Gaz de France Delegation</w:t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West Team Gaz de France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Jean Louis Mathias</w:t>
        <w:tab/>
        <w:tab/>
        <w:t>Sales &amp; Marketing Senior Vice President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Jean Claude Depail</w:t>
        <w:tab/>
        <w:tab/>
        <w:t>Key Account Division Vice President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Mrs. Catherine Bentoumi</w:t>
        <w:tab/>
        <w:tab/>
        <w:t>Key Account Sales Manager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Mrs. Catherine Brun</w:t>
        <w:tab/>
        <w:tab/>
        <w:tab/>
        <w:t>Key Account Marketing manager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Jean Michel Philippe</w:t>
        <w:tab/>
        <w:tab/>
        <w:t>Key Account Strategy Manager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Olivier Charnoz</w:t>
        <w:tab/>
        <w:tab/>
        <w:tab/>
        <w:t>Member of the Corporate Strategy Unit</w:t>
      </w:r>
    </w:p>
    <w:p>
      <w:pPr>
        <w:pStyle w:val="BlockText"/>
        <w:pBdr>
          <w:bottom w:val="nil"/>
        </w:pBdr>
        <w:ind w:hanging="144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East Team Gaz de France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Jean Pierre Piollat</w:t>
        <w:tab/>
        <w:tab/>
        <w:tab/>
        <w:t>Business Development Vice President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Michel Pellegrino</w:t>
        <w:tab/>
        <w:tab/>
        <w:tab/>
        <w:t>Senior Vice President Gas Sales (Distribution Division)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Herve Villebrun</w:t>
        <w:tab/>
        <w:tab/>
        <w:tab/>
        <w:t>Marketing Vice President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Joel Gregoire</w:t>
        <w:tab/>
        <w:tab/>
        <w:tab/>
        <w:t>Industry Sales Manager (Distribution Division)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M. Henri Nohet</w:t>
        <w:tab/>
        <w:tab/>
        <w:tab/>
        <w:t>Energy Operators Manager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Mrs. Catherine Coulomb</w:t>
        <w:tab/>
        <w:tab/>
        <w:t>Internet Project Manager</w:t>
      </w:r>
    </w:p>
    <w:p>
      <w:pPr>
        <w:pStyle w:val="BlockText"/>
        <w:pBdr>
          <w:bottom w:val="nil"/>
        </w:pBdr>
        <w:ind w:hanging="1440" w:start="216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Daniel E. Gibson</w:t>
        <w:tab/>
        <w:tab/>
        <w:tab/>
        <w:t>PHB Hagler Bailly, Inc.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Frederic Brosset</w:t>
        <w:tab/>
        <w:tab/>
        <w:tab/>
        <w:t>Gemini Consulting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</w:rPr>
      </w:pPr>
      <w:r>
        <w:rPr>
          <w:rFonts w:cs="Book Antiqua" w:ascii="Book Antiqua" w:hAnsi="Book Antiqua"/>
        </w:rPr>
        <w:t>Enron Attendees</w:t>
      </w:r>
    </w:p>
    <w:p>
      <w:pPr>
        <w:pStyle w:val="BlockText"/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hd w:fill="E5E5E5" w:val="clear"/>
        <w:ind w:hanging="1440" w:start="720" w:end="-720"/>
        <w:jc w:val="center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</w:r>
    </w:p>
    <w:p>
      <w:pPr>
        <w:pStyle w:val="BlockText"/>
        <w:pBdr>
          <w:bottom w:val="nil"/>
        </w:pBdr>
        <w:ind w:hanging="1440" w:start="72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ab/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Shelley Corman</w:t>
        <w:tab/>
        <w:tab/>
        <w:tab/>
        <w:t>VP Regulatory &amp; Govt. Affairs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Robert Neustaedter</w:t>
        <w:tab/>
        <w:tab/>
        <w:tab/>
        <w:t>Manager, Govt. Affairs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Margaret Carson</w:t>
        <w:tab/>
        <w:tab/>
        <w:tab/>
        <w:t>Director Competitive Analysis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Stephanie Miller</w:t>
        <w:tab/>
        <w:tab/>
        <w:tab/>
        <w:t>Director Commercial Operations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Hunter Shively</w:t>
        <w:tab/>
        <w:tab/>
        <w:tab/>
        <w:t>VP Commercial Trading</w:t>
      </w:r>
    </w:p>
    <w:p>
      <w:pPr>
        <w:pStyle w:val="BlockText"/>
        <w:pBdr>
          <w:bottom w:val="nil"/>
        </w:pBdr>
        <w:ind w:hanging="1440" w:start="1440" w:end="-720"/>
        <w:rPr>
          <w:rFonts w:ascii="Book Antiqua" w:hAnsi="Book Antiqua" w:cs="Book Antiqua"/>
          <w:b w:val="false"/>
          <w:sz w:val="22"/>
        </w:rPr>
      </w:pPr>
      <w:r>
        <w:rPr>
          <w:rFonts w:cs="Book Antiqua" w:ascii="Book Antiqua" w:hAnsi="Book Antiqua"/>
          <w:b w:val="false"/>
          <w:sz w:val="22"/>
        </w:rPr>
        <w:t>Carrie Robért</w:t>
        <w:tab/>
        <w:tab/>
        <w:tab/>
        <w:tab/>
        <w:t>Supervisor, Enron Corp. PR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620" w:right="1530" w:gutter="0" w:header="720" w:top="776" w:footer="776" w:bottom="832"/>
      <w:pgBorders w:display="allPages" w:offsetFrom="page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</w:r>
  </w:p>
  <w:p>
    <w:pPr>
      <w:pStyle w:val="Footer"/>
      <w:jc w:val="center"/>
      <w:rPr/>
    </w:pP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8:40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1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>Endless Possibilities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        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8:40 AM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  <w:r>
      <w:rPr/>
      <w:t xml:space="preserve">                                                                                                                   </w:t>
    </w:r>
    <w:r>
      <w:rPr/>
      <w:drawing>
        <wp:inline distT="0" distB="0" distL="0" distR="0">
          <wp:extent cx="457200" cy="457200"/>
          <wp:effectExtent l="0" t="0" r="0" b="0"/>
          <wp:docPr id="2" name="Imag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5" t="-95" r="-95" b="-95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jc w:val="center"/>
      <w:rPr/>
    </w:pPr>
    <w:r>
      <w:rPr/>
      <w:t xml:space="preserve"> </w:t>
    </w:r>
    <w:r>
      <w:rPr/>
      <w:t>Endless Possibilities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</w:rPr>
    </w:pPr>
    <w:r>
      <w:rPr>
        <w:i/>
      </w:rPr>
    </w:r>
  </w:p>
  <w:p>
    <w:pPr>
      <w:pStyle w:val="Header"/>
      <w:rPr>
        <w:i/>
        <w:i/>
      </w:rPr>
    </w:pPr>
    <w:r>
      <w:rPr>
        <w:i/>
      </w:rPr>
      <w:t>Gaz de France</w:t>
    </w:r>
  </w:p>
  <w:p>
    <w:pPr>
      <w:pStyle w:val="Header"/>
      <w:rPr>
        <w:i/>
        <w:i/>
      </w:rPr>
    </w:pPr>
    <w:r>
      <w:rPr>
        <w:i/>
      </w:rPr>
      <w:t xml:space="preserve"> </w:t>
    </w:r>
    <w:r>
      <w:rPr>
        <w:i/>
      </w:rPr>
      <w:t>Agenda</w:t>
    </w:r>
  </w:p>
  <w:p>
    <w:pPr>
      <w:pStyle w:val="Header"/>
      <w:rPr/>
    </w:pPr>
    <w:r>
      <w:rPr>
        <w:i/>
      </w:rPr>
      <w:t>Page #</w:t>
    </w:r>
    <w:r>
      <w:rPr>
        <w:rStyle w:val="PageNumber"/>
        <w:i/>
      </w:rPr>
      <w:fldChar w:fldCharType="begin"/>
    </w:r>
    <w:r>
      <w:rPr>
        <w:rStyle w:val="PageNumber"/>
        <w:i/>
      </w:rPr>
      <w:instrText xml:space="preserve"> PAGE </w:instrText>
    </w:r>
    <w:r>
      <w:rPr>
        <w:rStyle w:val="PageNumber"/>
        <w:i/>
      </w:rPr>
      <w:fldChar w:fldCharType="separate"/>
    </w:r>
    <w:r>
      <w:rPr>
        <w:rStyle w:val="PageNumber"/>
        <w:i/>
      </w:rPr>
      <w:t>2</w:t>
    </w:r>
    <w:r>
      <w:rPr>
        <w:rStyle w:val="PageNumber"/>
        <w:i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90" w:start="-1800" w:end="-720"/>
      <w:jc w:val="center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single" w:sz="6" w:space="1" w:color="0000FF" w:shadow="1"/>
        <w:left w:val="single" w:sz="6" w:space="1" w:color="0000FF" w:shadow="1"/>
        <w:bottom w:val="single" w:sz="6" w:space="1" w:color="0000FF" w:shadow="1"/>
        <w:right w:val="single" w:sz="6" w:space="1" w:color="0000FF" w:shadow="1"/>
      </w:pBdr>
      <w:shd w:fill="F2F2F2" w:val="clear"/>
      <w:ind w:hanging="0" w:start="-720" w:end="-720"/>
      <w:jc w:val="center"/>
      <w:outlineLvl w:val="1"/>
    </w:pPr>
    <w:rPr>
      <w:rFonts w:ascii="Bookman Old Style" w:hAnsi="Bookman Old Style" w:cs="Bookman Old Style"/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720" w:end="-720"/>
      <w:jc w:val="center"/>
      <w:outlineLvl w:val="2"/>
    </w:pPr>
    <w:rPr>
      <w:rFonts w:ascii="Book Antiqua" w:hAnsi="Book Antiqua" w:cs="Book Antiqua"/>
      <w:b/>
      <w:sz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-720" w:end="-720"/>
      <w:outlineLvl w:val="3"/>
    </w:pPr>
    <w:rPr>
      <w:rFonts w:ascii="Bookman Old Style" w:hAnsi="Bookman Old Style" w:cs="Bookman Old Style"/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-720" w:end="-720"/>
      <w:outlineLvl w:val="4"/>
    </w:pPr>
    <w:rPr>
      <w:rFonts w:ascii="Bookman Old Style" w:hAnsi="Bookman Old Style" w:cs="Bookman Old Style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0" w:end="-720"/>
      <w:outlineLvl w:val="5"/>
    </w:pPr>
    <w:rPr>
      <w:rFonts w:ascii="Bookman Old Style" w:hAnsi="Bookman Old Style" w:cs="Bookman Old Style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-720"/>
      <w:outlineLvl w:val="6"/>
    </w:pPr>
    <w:rPr>
      <w:rFonts w:ascii="Book Antiqua" w:hAnsi="Book Antiqua" w:cs="Book Antiqua"/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lockText">
    <w:name w:val="Block Text"/>
    <w:basedOn w:val="Normal"/>
    <w:qFormat/>
    <w:pPr>
      <w:pBdr>
        <w:bottom w:val="single" w:sz="6" w:space="1" w:color="000000"/>
      </w:pBdr>
      <w:ind w:hanging="0" w:start="-720" w:end="-720"/>
    </w:pPr>
    <w:rPr>
      <w:rFonts w:ascii="Bookman Old Style" w:hAnsi="Bookman Old Style" w:cs="Bookman Old Style"/>
      <w:b/>
      <w:sz w:val="28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>
      <w:ind w:firstLine="1440" w:start="0" w:end="-720"/>
    </w:pPr>
    <w:rPr>
      <w:rFonts w:ascii="Book Antiqua" w:hAnsi="Book Antiqua" w:cs="Book Antiqua"/>
      <w:sz w:val="22"/>
    </w:rPr>
  </w:style>
  <w:style w:type="paragraph" w:styleId="Body">
    <w:name w:val="Body"/>
    <w:basedOn w:val="Normal"/>
    <w:qFormat/>
    <w:pPr>
      <w:ind w:hanging="0" w:start="72" w:end="0"/>
    </w:pPr>
    <w:rPr>
      <w:rFonts w:ascii="Arial" w:hAnsi="Arial" w:cs="Arial"/>
      <w:color w:val="000080"/>
      <w:lang w:eastAsia="en-US"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5640" w:leader="none"/>
        <w:tab w:val="right" w:pos="1128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2000-04-30T15:25:00Z</dcterms:created>
  <dc:creator>EES</dc:creator>
  <dc:description/>
  <dc:language>en-CA</dc:language>
  <cp:lastModifiedBy>crobert</cp:lastModifiedBy>
  <cp:lastPrinted>2000-04-28T16:14:00Z</cp:lastPrinted>
  <dcterms:modified xsi:type="dcterms:W3CDTF">2000-04-30T15:25:00Z</dcterms:modified>
  <cp:revision>2</cp:revision>
  <dc:subject/>
  <dc:title>General Cable Corp</dc:title>
</cp:coreProperties>
</file>