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QuickMark"/>
      <w:bookmarkStart w:id="1" w:name="QuickMark"/>
      <w:bookmarkEnd w:id="1"/>
    </w:p>
    <w:p>
      <w:pPr>
        <w:pStyle w:val="Normal"/>
        <w:rPr/>
      </w:pPr>
      <w:r>
        <w:rPr/>
      </w:r>
    </w:p>
    <w:p>
      <w:pPr>
        <w:pStyle w:val="Normal"/>
        <w:tabs>
          <w:tab w:val="clear" w:pos="720"/>
          <w:tab w:val="center" w:pos="4680" w:leader="none"/>
        </w:tabs>
        <w:rPr/>
      </w:pPr>
      <w:r>
        <w:rPr/>
        <w:tab/>
        <w:t>BEFORE THE PUBLIC UTILITIES COMMISSION</w:t>
      </w:r>
    </w:p>
    <w:p>
      <w:pPr>
        <w:pStyle w:val="Normal"/>
        <w:rPr/>
      </w:pPr>
      <w:r>
        <w:rPr/>
      </w:r>
    </w:p>
    <w:p>
      <w:pPr>
        <w:pStyle w:val="Normal"/>
        <w:tabs>
          <w:tab w:val="clear" w:pos="720"/>
          <w:tab w:val="center" w:pos="4680" w:leader="none"/>
        </w:tabs>
        <w:rPr/>
      </w:pPr>
      <w:r>
        <w:rPr/>
        <w:tab/>
        <w:t>OF THE STATE OF CALIFORNIA</w:t>
      </w:r>
    </w:p>
    <w:p>
      <w:pPr>
        <w:pStyle w:val="Normal"/>
        <w:rPr/>
      </w:pPr>
      <w:r>
        <w:rPr/>
      </w:r>
    </w:p>
    <w:p>
      <w:pPr>
        <w:pStyle w:val="Normal"/>
        <w:rPr/>
      </w:pPr>
      <w:r>
        <w:rPr/>
      </w:r>
    </w:p>
    <w:p>
      <w:pPr>
        <w:pStyle w:val="Normal"/>
        <w:rPr/>
      </w:pPr>
      <w:r>
        <w:rPr/>
      </w:r>
    </w:p>
    <w:p>
      <w:pPr>
        <w:pStyle w:val="Normal"/>
        <w:tabs>
          <w:tab w:val="clear" w:pos="720"/>
          <w:tab w:val="left" w:pos="-1440" w:leader="none"/>
        </w:tabs>
        <w:ind w:hanging="5040" w:start="5040" w:end="0"/>
        <w:rPr/>
      </w:pPr>
      <w:r>
        <w:rPr/>
        <w:t>Investigation on the Commissions</w:t>
      </w:r>
      <w:r>
        <w:rPr>
          <w:rFonts w:cs="WP TypographicSymbols" w:ascii="WP TypographicSymbols" w:hAnsi="WP TypographicSymbols"/>
        </w:rPr>
        <w:t>=</w:t>
      </w:r>
      <w:r>
        <w:rPr/>
        <w:t xml:space="preserve"> Own Motion</w:t>
        <w:tab/>
        <w:t>)</w:t>
      </w:r>
    </w:p>
    <w:p>
      <w:pPr>
        <w:pStyle w:val="Normal"/>
        <w:tabs>
          <w:tab w:val="clear" w:pos="720"/>
          <w:tab w:val="left" w:pos="-1440" w:leader="none"/>
        </w:tabs>
        <w:ind w:hanging="6480" w:start="6480" w:end="0"/>
        <w:rPr/>
      </w:pPr>
      <w:r>
        <w:rPr/>
        <w:t>to Consider the Costs and Benefits of Various</w:t>
        <w:tab/>
        <w:t>)</w:t>
        <w:tab/>
        <w:tab/>
        <w:t>I. 99-07-003</w:t>
      </w:r>
    </w:p>
    <w:p>
      <w:pPr>
        <w:pStyle w:val="Normal"/>
        <w:tabs>
          <w:tab w:val="clear" w:pos="720"/>
          <w:tab w:val="left" w:pos="-1440" w:leader="none"/>
        </w:tabs>
        <w:ind w:hanging="5040" w:start="5040" w:end="0"/>
        <w:rPr/>
      </w:pPr>
      <w:r>
        <w:rPr/>
        <w:t>Promising Revisions to the Regulatory and</w:t>
        <w:tab/>
        <w:tab/>
        <w:t>)</w:t>
      </w:r>
    </w:p>
    <w:p>
      <w:pPr>
        <w:pStyle w:val="Normal"/>
        <w:tabs>
          <w:tab w:val="clear" w:pos="720"/>
          <w:tab w:val="left" w:pos="-1440" w:leader="none"/>
        </w:tabs>
        <w:ind w:hanging="5040" w:start="5040" w:end="0"/>
        <w:rPr/>
      </w:pPr>
      <w:r>
        <w:rPr/>
        <w:t>Market Structure Governing California</w:t>
      </w:r>
      <w:r>
        <w:rPr>
          <w:rFonts w:cs="WP TypographicSymbols" w:ascii="WP TypographicSymbols" w:hAnsi="WP TypographicSymbols"/>
        </w:rPr>
        <w:t>=</w:t>
      </w:r>
      <w:r>
        <w:rPr/>
        <w:t>s Natural</w:t>
        <w:tab/>
        <w:t>)</w:t>
      </w:r>
    </w:p>
    <w:p>
      <w:pPr>
        <w:pStyle w:val="Normal"/>
        <w:tabs>
          <w:tab w:val="clear" w:pos="720"/>
          <w:tab w:val="left" w:pos="-1440" w:leader="none"/>
        </w:tabs>
        <w:ind w:hanging="5040" w:start="5040" w:end="0"/>
        <w:rPr/>
      </w:pPr>
      <w:r>
        <w:rPr/>
        <w:t>Gas Industry and to Report to the California</w:t>
        <w:tab/>
        <w:tab/>
        <w:t>)</w:t>
      </w:r>
    </w:p>
    <w:p>
      <w:pPr>
        <w:pStyle w:val="Normal"/>
        <w:tabs>
          <w:tab w:val="clear" w:pos="720"/>
          <w:tab w:val="left" w:pos="-1440" w:leader="none"/>
        </w:tabs>
        <w:ind w:hanging="5040" w:start="5040" w:end="0"/>
        <w:rPr/>
      </w:pPr>
      <w:r>
        <w:rPr/>
        <w:t>Legislature on the Commission</w:t>
      </w:r>
      <w:r>
        <w:rPr>
          <w:rFonts w:cs="WP TypographicSymbols" w:ascii="WP TypographicSymbols" w:hAnsi="WP TypographicSymbols"/>
        </w:rPr>
        <w:t>=</w:t>
      </w:r>
      <w:r>
        <w:rPr/>
        <w:t>s Findings.</w:t>
        <w:tab/>
        <w:tab/>
        <w:t>)</w:t>
      </w:r>
    </w:p>
    <w:p>
      <w:pPr>
        <w:pStyle w:val="Normal"/>
        <w:rPr/>
      </w:pPr>
      <w:r>
        <w:rPr/>
        <w:t>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680" w:leader="none"/>
        </w:tabs>
        <w:rPr/>
      </w:pPr>
      <w:r>
        <w:rPr/>
        <w:tab/>
      </w:r>
      <w:r>
        <w:rPr>
          <w:b/>
        </w:rPr>
        <w:t>OPENING COMMENTS OF</w:t>
      </w:r>
    </w:p>
    <w:p>
      <w:pPr>
        <w:pStyle w:val="Normal"/>
        <w:tabs>
          <w:tab w:val="clear" w:pos="720"/>
          <w:tab w:val="center" w:pos="4680" w:leader="none"/>
        </w:tabs>
        <w:rPr>
          <w:b/>
        </w:rPr>
      </w:pPr>
      <w:r>
        <w:rPr>
          <w:b/>
        </w:rPr>
        <w:tab/>
        <w:t>WESTERN HUB PROPERTIES, LLC</w:t>
      </w:r>
    </w:p>
    <w:p>
      <w:pPr>
        <w:pStyle w:val="Normal"/>
        <w:tabs>
          <w:tab w:val="clear" w:pos="720"/>
          <w:tab w:val="center" w:pos="4680" w:leader="none"/>
        </w:tabs>
        <w:rPr>
          <w:b/>
        </w:rPr>
      </w:pPr>
      <w:r>
        <w:rPr>
          <w:b/>
        </w:rPr>
        <w:tab/>
        <w:t>ON THE PROPOSED DECISION</w:t>
      </w:r>
    </w:p>
    <w:p>
      <w:pPr>
        <w:pStyle w:val="Normal"/>
        <w:tabs>
          <w:tab w:val="clear" w:pos="720"/>
          <w:tab w:val="center" w:pos="4680" w:leader="none"/>
        </w:tabs>
        <w:rPr>
          <w:b/>
        </w:rPr>
      </w:pPr>
      <w:r>
        <w:rPr>
          <w:b/>
        </w:rPr>
        <w:tab/>
        <w:t>OF COMMISSIONER BILAS</w:t>
      </w:r>
    </w:p>
    <w:p>
      <w:pPr>
        <w:pStyle w:val="Normal"/>
        <w:ind w:firstLine="720" w:end="0"/>
        <w:rPr>
          <w:b/>
        </w:rPr>
      </w:pPr>
      <w:r>
        <w:rPr>
          <w:b/>
        </w:rPr>
      </w:r>
    </w:p>
    <w:p>
      <w:pPr>
        <w:pStyle w:val="Normal"/>
        <w:rPr>
          <w:b/>
        </w:rPr>
      </w:pPr>
      <w:r>
        <w:rPr>
          <w:b/>
        </w:rPr>
      </w:r>
    </w:p>
    <w:p>
      <w:pPr>
        <w:pStyle w:val="Normal"/>
        <w:rPr>
          <w:b/>
        </w:rPr>
      </w:pPr>
      <w:r>
        <w:rPr>
          <w:b/>
        </w:rPr>
      </w:r>
    </w:p>
    <w:p>
      <w:pPr>
        <w:pStyle w:val="Normal"/>
        <w:ind w:firstLine="3600" w:end="0"/>
        <w:rPr>
          <w:b/>
        </w:rPr>
      </w:pPr>
      <w:r>
        <w:rPr>
          <w:b/>
        </w:rPr>
      </w:r>
    </w:p>
    <w:p>
      <w:pPr>
        <w:pStyle w:val="Normal"/>
        <w:rPr/>
      </w:pPr>
      <w:r>
        <w:rPr/>
      </w:r>
    </w:p>
    <w:p>
      <w:pPr>
        <w:pStyle w:val="Normal"/>
        <w:ind w:firstLine="5040" w:end="0"/>
        <w:rPr/>
      </w:pPr>
      <w:r>
        <w:rPr/>
        <w:t>Philip A. Stohr</w:t>
      </w:r>
    </w:p>
    <w:p>
      <w:pPr>
        <w:pStyle w:val="Normal"/>
        <w:ind w:firstLine="5040" w:end="0"/>
        <w:rPr/>
      </w:pPr>
      <w:r>
        <w:rPr/>
        <w:t>Dan L. Carroll</w:t>
      </w:r>
    </w:p>
    <w:p>
      <w:pPr>
        <w:pStyle w:val="Normal"/>
        <w:ind w:firstLine="5040" w:end="0"/>
        <w:rPr/>
      </w:pPr>
      <w:r>
        <w:rPr/>
        <w:t>Ann L. Trowbridge</w:t>
      </w:r>
    </w:p>
    <w:p>
      <w:pPr>
        <w:pStyle w:val="Normal"/>
        <w:ind w:firstLine="5040" w:end="0"/>
        <w:rPr/>
      </w:pPr>
      <w:r>
        <w:rPr/>
        <w:t>Downey, Brand, Seymour &amp; Rohwer LLP</w:t>
      </w:r>
    </w:p>
    <w:p>
      <w:pPr>
        <w:pStyle w:val="Normal"/>
        <w:ind w:firstLine="5040" w:end="0"/>
        <w:rPr/>
      </w:pPr>
      <w:r>
        <w:rPr/>
        <w:t>555 Capitol Mall, 10</w:t>
      </w:r>
      <w:r>
        <w:rPr>
          <w:vertAlign w:val="superscript"/>
        </w:rPr>
        <w:t>th</w:t>
      </w:r>
      <w:r>
        <w:rPr/>
        <w:t xml:space="preserve"> Floor</w:t>
      </w:r>
    </w:p>
    <w:p>
      <w:pPr>
        <w:pStyle w:val="Normal"/>
        <w:ind w:firstLine="5040" w:end="0"/>
        <w:rPr/>
      </w:pPr>
      <w:r>
        <w:rPr/>
        <w:t>Sacramento, California 95814</w:t>
      </w:r>
    </w:p>
    <w:p>
      <w:pPr>
        <w:pStyle w:val="Normal"/>
        <w:tabs>
          <w:tab w:val="clear" w:pos="720"/>
          <w:tab w:val="left" w:pos="-1440" w:leader="none"/>
        </w:tabs>
        <w:ind w:hanging="1440" w:start="6480" w:end="0"/>
        <w:rPr/>
      </w:pPr>
      <w:r>
        <w:rPr/>
        <w:t>Telephone:</w:t>
        <w:tab/>
        <w:t>(916)441-0131</w:t>
      </w:r>
    </w:p>
    <w:p>
      <w:pPr>
        <w:pStyle w:val="Normal"/>
        <w:tabs>
          <w:tab w:val="clear" w:pos="720"/>
          <w:tab w:val="left" w:pos="-1440" w:leader="none"/>
        </w:tabs>
        <w:ind w:hanging="1440" w:start="6480" w:end="0"/>
        <w:rPr/>
      </w:pPr>
      <w:r>
        <w:rPr/>
        <w:t>FAX:</w:t>
        <w:tab/>
        <w:tab/>
        <w:t>(916)441-4021</w:t>
      </w:r>
    </w:p>
    <w:p>
      <w:pPr>
        <w:pStyle w:val="Normal"/>
        <w:tabs>
          <w:tab w:val="clear" w:pos="720"/>
          <w:tab w:val="left" w:pos="-1440" w:leader="none"/>
        </w:tabs>
        <w:ind w:hanging="1440" w:start="6480" w:end="0"/>
        <w:rPr/>
      </w:pPr>
      <w:r>
        <w:rPr/>
        <w:t>E-mail to:</w:t>
        <w:tab/>
        <w:t>dcarroll@dbsr.com</w:t>
      </w:r>
    </w:p>
    <w:p>
      <w:pPr>
        <w:pStyle w:val="Normal"/>
        <w:ind w:firstLine="5040" w:end="-270"/>
        <w:rPr>
          <w:b/>
        </w:rPr>
      </w:pPr>
      <w:r>
        <w:rPr>
          <w:b/>
        </w:rPr>
        <w:t>Attorneys for Western Hub Properties, LLC</w:t>
      </w:r>
    </w:p>
    <w:p>
      <w:pPr>
        <w:pStyle w:val="Normal"/>
        <w:ind w:end="-270"/>
        <w:rPr/>
      </w:pPr>
      <w:r>
        <w:rPr/>
      </w:r>
    </w:p>
    <w:p>
      <w:pPr>
        <w:pStyle w:val="Normal"/>
        <w:ind w:end="-270"/>
        <w:rPr/>
      </w:pPr>
      <w:r>
        <w:rPr/>
      </w:r>
    </w:p>
    <w:p>
      <w:pPr>
        <w:pStyle w:val="Normal"/>
        <w:ind w:end="-270"/>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ind w:end="-270"/>
        <w:rPr/>
      </w:pPr>
      <w:r>
        <w:rPr/>
        <w:t xml:space="preserve">December 11, 2000 </w:t>
      </w:r>
    </w:p>
    <w:p>
      <w:pPr>
        <w:pStyle w:val="Normal"/>
        <w:ind w:end="-270"/>
        <w:rPr/>
      </w:pPr>
      <w:r>
        <w:rPr/>
      </w:r>
    </w:p>
    <w:p>
      <w:pPr>
        <w:pStyle w:val="Normal"/>
        <w:ind w:end="-270"/>
        <w:rPr/>
      </w:pPr>
      <w:r>
        <w:rPr/>
      </w:r>
    </w:p>
    <w:p>
      <w:pPr>
        <w:pStyle w:val="Normal"/>
        <w:tabs>
          <w:tab w:val="clear" w:pos="720"/>
          <w:tab w:val="center" w:pos="4815" w:leader="none"/>
        </w:tabs>
        <w:ind w:end="-270"/>
        <w:rPr/>
      </w:pPr>
      <w:r>
        <w:rPr/>
        <w:tab/>
        <w:t>BEFORE THE PUBLIC UTILITIES COMMISSION</w:t>
      </w:r>
    </w:p>
    <w:p>
      <w:pPr>
        <w:pStyle w:val="Normal"/>
        <w:ind w:end="-270"/>
        <w:rPr/>
      </w:pPr>
      <w:r>
        <w:rPr/>
      </w:r>
    </w:p>
    <w:p>
      <w:pPr>
        <w:pStyle w:val="Normal"/>
        <w:tabs>
          <w:tab w:val="clear" w:pos="720"/>
          <w:tab w:val="center" w:pos="4815" w:leader="none"/>
        </w:tabs>
        <w:ind w:end="-270"/>
        <w:rPr/>
      </w:pPr>
      <w:r>
        <w:rPr/>
        <w:tab/>
        <w:t>OF THE STATE OF CALIFORNIA</w:t>
      </w:r>
    </w:p>
    <w:p>
      <w:pPr>
        <w:pStyle w:val="Normal"/>
        <w:ind w:end="-270"/>
        <w:rPr/>
      </w:pPr>
      <w:r>
        <w:rPr/>
      </w:r>
    </w:p>
    <w:p>
      <w:pPr>
        <w:pStyle w:val="Normal"/>
        <w:ind w:end="-270"/>
        <w:rPr/>
      </w:pPr>
      <w:r>
        <w:rPr/>
      </w:r>
    </w:p>
    <w:p>
      <w:pPr>
        <w:pStyle w:val="Normal"/>
        <w:ind w:end="-270"/>
        <w:rPr/>
      </w:pPr>
      <w:r>
        <w:rPr/>
      </w:r>
    </w:p>
    <w:p>
      <w:pPr>
        <w:pStyle w:val="Normal"/>
        <w:tabs>
          <w:tab w:val="clear" w:pos="720"/>
          <w:tab w:val="left" w:pos="-1440" w:leader="none"/>
        </w:tabs>
        <w:ind w:hanging="5040" w:start="5040" w:end="-270"/>
        <w:rPr/>
      </w:pPr>
      <w:r>
        <w:rPr/>
        <w:t>Investigation on the Commissions</w:t>
      </w:r>
      <w:r>
        <w:rPr>
          <w:rFonts w:cs="WP TypographicSymbols" w:ascii="WP TypographicSymbols" w:hAnsi="WP TypographicSymbols"/>
        </w:rPr>
        <w:t>=</w:t>
      </w:r>
      <w:r>
        <w:rPr/>
        <w:t xml:space="preserve"> Own Motion</w:t>
        <w:tab/>
        <w:t>)</w:t>
      </w:r>
    </w:p>
    <w:p>
      <w:pPr>
        <w:pStyle w:val="Normal"/>
        <w:tabs>
          <w:tab w:val="clear" w:pos="720"/>
          <w:tab w:val="left" w:pos="-1440" w:leader="none"/>
        </w:tabs>
        <w:ind w:hanging="6480" w:start="6480" w:end="-270"/>
        <w:rPr/>
      </w:pPr>
      <w:r>
        <w:rPr/>
        <w:t>to Consider the Costs and Benefits of Various</w:t>
        <w:tab/>
        <w:t>)</w:t>
        <w:tab/>
        <w:tab/>
        <w:t>I. 99-07-003</w:t>
      </w:r>
    </w:p>
    <w:p>
      <w:pPr>
        <w:pStyle w:val="Normal"/>
        <w:tabs>
          <w:tab w:val="clear" w:pos="720"/>
          <w:tab w:val="left" w:pos="-1440" w:leader="none"/>
        </w:tabs>
        <w:ind w:hanging="5040" w:start="5040" w:end="-270"/>
        <w:rPr/>
      </w:pPr>
      <w:r>
        <w:rPr/>
        <w:t>Promising Revisions to the Regulatory and</w:t>
        <w:tab/>
        <w:tab/>
        <w:t>)</w:t>
      </w:r>
    </w:p>
    <w:p>
      <w:pPr>
        <w:pStyle w:val="Normal"/>
        <w:tabs>
          <w:tab w:val="clear" w:pos="720"/>
          <w:tab w:val="left" w:pos="-1440" w:leader="none"/>
        </w:tabs>
        <w:ind w:hanging="5040" w:start="5040" w:end="-270"/>
        <w:rPr/>
      </w:pPr>
      <w:r>
        <w:rPr/>
        <w:t>Market Structure Governing California</w:t>
      </w:r>
      <w:r>
        <w:rPr>
          <w:rFonts w:cs="WP TypographicSymbols" w:ascii="WP TypographicSymbols" w:hAnsi="WP TypographicSymbols"/>
        </w:rPr>
        <w:t>=</w:t>
      </w:r>
      <w:r>
        <w:rPr/>
        <w:t>s Natural</w:t>
        <w:tab/>
        <w:t>)</w:t>
      </w:r>
    </w:p>
    <w:p>
      <w:pPr>
        <w:pStyle w:val="Normal"/>
        <w:tabs>
          <w:tab w:val="clear" w:pos="720"/>
          <w:tab w:val="left" w:pos="-1440" w:leader="none"/>
        </w:tabs>
        <w:ind w:hanging="5040" w:start="5040" w:end="-270"/>
        <w:rPr/>
      </w:pPr>
      <w:r>
        <w:rPr/>
        <w:t>Gas Industry and to Report to the California</w:t>
        <w:tab/>
        <w:tab/>
        <w:t>)</w:t>
      </w:r>
    </w:p>
    <w:p>
      <w:pPr>
        <w:pStyle w:val="Normal"/>
        <w:tabs>
          <w:tab w:val="clear" w:pos="720"/>
          <w:tab w:val="left" w:pos="-1440" w:leader="none"/>
        </w:tabs>
        <w:ind w:hanging="5040" w:start="5040" w:end="-270"/>
        <w:rPr/>
      </w:pPr>
      <w:r>
        <w:rPr/>
        <w:t>Legislature on the Commission</w:t>
      </w:r>
      <w:r>
        <w:rPr>
          <w:rFonts w:cs="WP TypographicSymbols" w:ascii="WP TypographicSymbols" w:hAnsi="WP TypographicSymbols"/>
        </w:rPr>
        <w:t>=</w:t>
      </w:r>
      <w:r>
        <w:rPr/>
        <w:t>s Findings.</w:t>
        <w:tab/>
        <w:tab/>
        <w:t>)</w:t>
      </w:r>
    </w:p>
    <w:p>
      <w:pPr>
        <w:pStyle w:val="Normal"/>
        <w:ind w:end="-270"/>
        <w:rPr/>
      </w:pPr>
      <w:r>
        <w:rPr/>
        <w:t>__________________________________________)</w:t>
      </w:r>
    </w:p>
    <w:p>
      <w:pPr>
        <w:pStyle w:val="Normal"/>
        <w:ind w:end="-270"/>
        <w:rPr/>
      </w:pPr>
      <w:r>
        <w:rPr/>
      </w:r>
    </w:p>
    <w:p>
      <w:pPr>
        <w:pStyle w:val="Normal"/>
        <w:ind w:end="-270"/>
        <w:rPr/>
      </w:pPr>
      <w:r>
        <w:rPr/>
      </w:r>
    </w:p>
    <w:p>
      <w:pPr>
        <w:pStyle w:val="Normal"/>
        <w:ind w:end="-270"/>
        <w:rPr/>
      </w:pPr>
      <w:r>
        <w:rPr/>
      </w:r>
    </w:p>
    <w:p>
      <w:pPr>
        <w:pStyle w:val="Normal"/>
        <w:tabs>
          <w:tab w:val="clear" w:pos="720"/>
          <w:tab w:val="center" w:pos="4815" w:leader="none"/>
        </w:tabs>
        <w:ind w:end="-270"/>
        <w:rPr/>
      </w:pPr>
      <w:r>
        <w:rPr/>
        <w:tab/>
      </w:r>
      <w:r>
        <w:rPr>
          <w:b/>
        </w:rPr>
        <w:t>OPENING COMMENTS OF</w:t>
      </w:r>
    </w:p>
    <w:p>
      <w:pPr>
        <w:pStyle w:val="Normal"/>
        <w:tabs>
          <w:tab w:val="clear" w:pos="720"/>
          <w:tab w:val="center" w:pos="4815" w:leader="none"/>
        </w:tabs>
        <w:ind w:end="-270"/>
        <w:rPr>
          <w:b/>
        </w:rPr>
      </w:pPr>
      <w:r>
        <w:rPr>
          <w:b/>
        </w:rPr>
        <w:tab/>
        <w:t>WESTERN HUB PROPERTIES, LLC</w:t>
      </w:r>
    </w:p>
    <w:p>
      <w:pPr>
        <w:pStyle w:val="Normal"/>
        <w:tabs>
          <w:tab w:val="clear" w:pos="720"/>
          <w:tab w:val="center" w:pos="4815" w:leader="none"/>
        </w:tabs>
        <w:ind w:end="-270"/>
        <w:rPr>
          <w:b/>
        </w:rPr>
      </w:pPr>
      <w:r>
        <w:rPr>
          <w:b/>
        </w:rPr>
        <w:tab/>
        <w:t>ON THE PROPOSED DECISION</w:t>
      </w:r>
    </w:p>
    <w:p>
      <w:pPr>
        <w:pStyle w:val="Normal"/>
        <w:tabs>
          <w:tab w:val="clear" w:pos="720"/>
          <w:tab w:val="center" w:pos="4815" w:leader="none"/>
        </w:tabs>
        <w:ind w:end="-270"/>
        <w:rPr>
          <w:b/>
        </w:rPr>
      </w:pPr>
      <w:r>
        <w:rPr>
          <w:b/>
        </w:rPr>
        <w:tab/>
        <w:t>OF COMMISSIONER BILAS</w:t>
      </w:r>
    </w:p>
    <w:p>
      <w:pPr>
        <w:pStyle w:val="Normal"/>
        <w:ind w:end="-270"/>
        <w:rPr/>
      </w:pPr>
      <w:r>
        <w:rPr/>
      </w:r>
    </w:p>
    <w:p>
      <w:pPr>
        <w:pStyle w:val="Normal"/>
        <w:spacing w:lineRule="auto" w:line="360"/>
        <w:ind w:firstLine="720" w:end="-270"/>
        <w:rPr/>
      </w:pPr>
      <w:r>
        <w:rPr/>
        <w:t>Western Hub Properties (</w:t>
      </w:r>
      <w:r>
        <w:rPr>
          <w:rFonts w:cs="WP TypographicSymbols" w:ascii="WP TypographicSymbols" w:hAnsi="WP TypographicSymbols"/>
        </w:rPr>
        <w:t>A</w:t>
      </w:r>
      <w:r>
        <w:rPr/>
        <w:t>WHP</w:t>
      </w:r>
      <w:r>
        <w:rPr>
          <w:rFonts w:cs="WP TypographicSymbols" w:ascii="WP TypographicSymbols" w:hAnsi="WP TypographicSymbols"/>
        </w:rPr>
        <w:t>@</w:t>
      </w:r>
      <w:r>
        <w:rPr/>
        <w:t xml:space="preserve">) files these Opening Comments on the Proposed Decision (PD) of Commissioner  Bilas  mailed  November 21, 2000.  WHP wishes in these comments to convey a single, straightforward message:   </w:t>
      </w:r>
      <w:r>
        <w:rPr>
          <w:b/>
          <w:u w:val="single"/>
        </w:rPr>
        <w:t xml:space="preserve">  If the PD is adopted as written, customers in Southern California will not see any development of a storage market nor any benefits of competition in storage and balancing services in the foreseeable future</w:t>
      </w:r>
      <w:r>
        <w:rPr>
          <w:b/>
        </w:rPr>
        <w:t xml:space="preserve">.  </w:t>
      </w:r>
      <w:r>
        <w:rPr/>
        <w:t xml:space="preserve">The Commission should find this scenario extremely troubling in these challenging times of short energy supply, both for gas and electric. </w:t>
      </w:r>
    </w:p>
    <w:p>
      <w:pPr>
        <w:pStyle w:val="Normal"/>
        <w:spacing w:lineRule="auto" w:line="360"/>
        <w:ind w:end="-270"/>
        <w:rPr/>
      </w:pPr>
      <w:r>
        <w:rPr/>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spacing w:lineRule="auto" w:line="360"/>
        <w:ind w:firstLine="720" w:end="0"/>
        <w:rPr/>
      </w:pPr>
      <w:r>
        <w:rPr/>
        <w:t>WHP is a company which wants to provide independent competitive gas storage services in California.  Its subsidiary, Lodi Gas Storage, LLC (</w:t>
      </w:r>
      <w:r>
        <w:rPr>
          <w:rFonts w:cs="WP TypographicSymbols" w:ascii="WP TypographicSymbols" w:hAnsi="WP TypographicSymbols"/>
        </w:rPr>
        <w:t>A</w:t>
      </w:r>
      <w:r>
        <w:rPr/>
        <w:t>LGS</w:t>
      </w:r>
      <w:r>
        <w:rPr>
          <w:rFonts w:cs="WP TypographicSymbols" w:ascii="WP TypographicSymbols" w:hAnsi="WP TypographicSymbols"/>
        </w:rPr>
        <w:t>@</w:t>
      </w:r>
      <w:r>
        <w:rPr/>
        <w:t xml:space="preserve">) recently received a certificate of public convenience and necessity to construct and operate an independent natural gas storage project in Northern California.  (D. 00-05-048.)  LGS will eventually provide about 12 Bcf of inventory capability with a firm withdrawal capability of 500 MMcfd and injection of 400 MMcfd at its Lodi facility.  WHP is also exploring storage sites in Southern California. However, with  the policy direction  mapped out in this PD, the prospects of continued pursuit of any such projects has become considerably less likely.    </w:t>
      </w:r>
    </w:p>
    <w:p>
      <w:pPr>
        <w:pStyle w:val="Normal"/>
        <w:spacing w:lineRule="auto" w:line="360"/>
        <w:rPr/>
      </w:pPr>
      <w:r>
        <w:rPr/>
      </w:r>
    </w:p>
    <w:p>
      <w:pPr>
        <w:pStyle w:val="Normal"/>
        <w:spacing w:lineRule="auto" w:line="360"/>
        <w:ind w:firstLine="720" w:end="0"/>
        <w:rPr/>
      </w:pPr>
      <w:r>
        <w:rPr/>
        <w:t>WHP played a very active role in the negotiation and development of the Comprehensive Settlement (CS) filed in this proceeding, particularly the storage and balancing provisions. WHP representatives attended most, if not all, of the dozens of meetings that took place over a two year period in the course of this proceeding.  In addition, WHP filed testimony, briefs, and was instrumental in developing the embedded cost features of the CS.  WHP</w:t>
      </w:r>
      <w:r>
        <w:rPr>
          <w:rFonts w:cs="WP TypographicSymbols" w:ascii="WP TypographicSymbols" w:hAnsi="WP TypographicSymbols"/>
        </w:rPr>
        <w:t>=</w:t>
      </w:r>
      <w:r>
        <w:rPr/>
        <w:t>s effort  was largely the result of the Commission</w:t>
      </w:r>
      <w:r>
        <w:rPr>
          <w:rFonts w:cs="WP TypographicSymbols" w:ascii="WP TypographicSymbols" w:hAnsi="WP TypographicSymbols"/>
        </w:rPr>
        <w:t>=</w:t>
      </w:r>
      <w:r>
        <w:rPr/>
        <w:t>s direct solicitation for participation by all parties in this phase of the proceeding :</w:t>
      </w:r>
    </w:p>
    <w:p>
      <w:pPr>
        <w:pStyle w:val="BodyTextI1"/>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pPr>
      <w:r>
        <w:rPr/>
        <w:t>It is critical that any agreement reflect an appropriate balance of the interests of all stakeholders affected by the outcome in this proceeding.  For this reason, no interested parties should be excluded from the negotiating process.  All interested parties should have a place at the table directly, or through a caucus representative</w:t>
      </w:r>
    </w:p>
    <w:p>
      <w:pPr>
        <w:pStyle w:val="Normal"/>
        <w:tabs>
          <w:tab w:val="clear" w:pos="720"/>
          <w:tab w:val="left" w:pos="-1440" w:leader="none"/>
        </w:tabs>
        <w:rPr/>
      </w:pPr>
      <w:r>
        <w:rPr/>
      </w:r>
    </w:p>
    <w:p>
      <w:pPr>
        <w:pStyle w:val="Normal"/>
        <w:tabs>
          <w:tab w:val="clear" w:pos="720"/>
          <w:tab w:val="left" w:pos="-1440" w:leader="none"/>
        </w:tabs>
        <w:rPr/>
      </w:pPr>
      <w:r>
        <w:rPr/>
        <w:t>(D.99-07-015, p.135)</w:t>
      </w:r>
    </w:p>
    <w:p>
      <w:pPr>
        <w:pStyle w:val="Normal"/>
        <w:tabs>
          <w:tab w:val="clear" w:pos="720"/>
          <w:tab w:val="left" w:pos="-1440" w:leader="none"/>
        </w:tabs>
        <w:spacing w:lineRule="auto" w:line="360"/>
        <w:rPr/>
      </w:pPr>
      <w:r>
        <w:rPr/>
      </w:r>
    </w:p>
    <w:p>
      <w:pPr>
        <w:sectPr>
          <w:type w:val="continuous"/>
          <w:pgSz w:w="12240" w:h="15840"/>
          <w:pgMar w:left="1440" w:right="1170" w:gutter="0" w:header="0" w:top="1440" w:footer="1440" w:bottom="1496"/>
          <w:formProt w:val="false"/>
          <w:textDirection w:val="lrTb"/>
          <w:docGrid w:type="default" w:linePitch="360" w:charSpace="0"/>
        </w:sectPr>
      </w:pPr>
    </w:p>
    <w:p>
      <w:pPr>
        <w:pStyle w:val="Normal"/>
        <w:tabs>
          <w:tab w:val="clear" w:pos="720"/>
          <w:tab w:val="left" w:pos="-1440" w:leader="none"/>
        </w:tabs>
        <w:spacing w:lineRule="auto" w:line="360"/>
        <w:ind w:firstLine="720" w:end="0"/>
        <w:rPr/>
      </w:pPr>
      <w:r>
        <w:rPr/>
        <w:t xml:space="preserve">The Interim Settlement (IS) adopted in the PD violates this very principle.  Essentially only two parties endorsed the IS,  and there was little or no give-and-take  in its development.  On page 54, the PD  states that the storage provisions of the Interim Settlement are </w:t>
      </w:r>
      <w:r>
        <w:rPr>
          <w:rFonts w:cs="WP TypographicSymbols" w:ascii="WP TypographicSymbols" w:hAnsi="WP TypographicSymbols"/>
        </w:rPr>
        <w:t>A</w:t>
      </w:r>
      <w:r>
        <w:rPr/>
        <w:t>is acceptable until the next opportunity to reconsider</w:t>
      </w:r>
      <w:r>
        <w:rPr>
          <w:rFonts w:cs="WP TypographicSymbols" w:ascii="WP TypographicSymbols" w:hAnsi="WP TypographicSymbols"/>
        </w:rPr>
        <w:t>@</w:t>
      </w:r>
      <w:r>
        <w:rPr/>
        <w:t xml:space="preserve"> these issues.</w:t>
      </w:r>
      <w:r>
        <w:rPr>
          <w:rStyle w:val="FootnoteCharacters"/>
          <w:rStyle w:val="FootnoteReference"/>
          <w:vertAlign w:val="superscript"/>
        </w:rPr>
        <w:footnoteReference w:id="2"/>
      </w:r>
      <w:r>
        <w:rPr/>
        <w:t xml:space="preserve">  The PD provides  no clear indication of what that forum might be or when it might be provided to parties.   Just as importantly, the Commission should be gravely concerned that if such a forum is provided,   WHP and many other parties may choose not to participate, given the outcome of the process that lead to rejection of the CS.  Many  parties who worked tirelessly to meet the Commission</w:t>
      </w:r>
      <w:r>
        <w:rPr>
          <w:rFonts w:cs="WP TypographicSymbols" w:ascii="WP TypographicSymbols" w:hAnsi="WP TypographicSymbols"/>
        </w:rPr>
        <w:t>=</w:t>
      </w:r>
      <w:r>
        <w:rPr/>
        <w:t xml:space="preserve">s call for a comprehensive solution to gas market issues in Southern California  have had their input and hard work  completely disregarded in the PD.  It is not inappropriate for those parties, who responded heroically when the Commission directly asked for their contribution, to view the lengthy and costly process that lead to this inexplicable PD as little  more than a waste of  their time and money.     </w:t>
      </w:r>
    </w:p>
    <w:p>
      <w:pPr>
        <w:pStyle w:val="Normal"/>
        <w:spacing w:lineRule="auto" w:line="360"/>
        <w:rPr/>
      </w:pPr>
      <w:r>
        <w:rPr/>
      </w:r>
    </w:p>
    <w:p>
      <w:pPr>
        <w:pStyle w:val="Normal"/>
        <w:tabs>
          <w:tab w:val="clear" w:pos="720"/>
          <w:tab w:val="left" w:pos="72" w:leader="none"/>
        </w:tabs>
        <w:spacing w:lineRule="auto" w:line="360"/>
        <w:ind w:firstLine="720" w:end="0"/>
        <w:rPr/>
      </w:pPr>
      <w:r>
        <w:rPr/>
        <w:t>The PD offers further highly  suspect invitations.  In WHP</w:t>
      </w:r>
      <w:r>
        <w:rPr>
          <w:rFonts w:cs="WP TypographicSymbols" w:ascii="WP TypographicSymbols" w:hAnsi="WP TypographicSymbols"/>
        </w:rPr>
        <w:t>=</w:t>
      </w:r>
      <w:r>
        <w:rPr/>
        <w:t xml:space="preserve">s opinion,  confirmed by the Commission in D.99-07-015 (p. 137, F of F 8), there currently is no effective competition for gas storage services in SoCalGas' service area.   SoCalGas is at this point the only provider of storage services located in its service territory.  On page 55, the PD promises to </w:t>
      </w:r>
      <w:r>
        <w:rPr>
          <w:rFonts w:cs="WP TypographicSymbols" w:ascii="WP TypographicSymbols" w:hAnsi="WP TypographicSymbols"/>
        </w:rPr>
        <w:t>A</w:t>
      </w:r>
      <w:r>
        <w:rPr/>
        <w:t>examine the results of PG&amp;E</w:t>
      </w:r>
      <w:r>
        <w:rPr>
          <w:rFonts w:cs="WP TypographicSymbols" w:ascii="WP TypographicSymbols" w:hAnsi="WP TypographicSymbols"/>
        </w:rPr>
        <w:t>=</w:t>
      </w:r>
      <w:r>
        <w:rPr/>
        <w:t>s progressive unbundling of storage for CTAs and make a more informed decision about whether to extend storage unbundling in southern California.</w:t>
      </w:r>
      <w:r>
        <w:rPr>
          <w:rFonts w:cs="WP TypographicSymbols" w:ascii="WP TypographicSymbols" w:hAnsi="WP TypographicSymbols"/>
        </w:rPr>
        <w:t>@</w:t>
      </w:r>
      <w:r>
        <w:rPr/>
        <w:t xml:space="preserve"> </w:t>
      </w:r>
      <w:r>
        <w:rPr>
          <w:b/>
        </w:rPr>
        <w:t xml:space="preserve">  </w:t>
      </w:r>
      <w:r>
        <w:rPr/>
        <w:t>But CTAs are literally the tip of the iceberg in storage and balancing markets.  The relevance of PG&amp;E</w:t>
      </w:r>
      <w:r>
        <w:rPr>
          <w:rFonts w:cs="WP TypographicSymbols" w:ascii="WP TypographicSymbols" w:hAnsi="WP TypographicSymbols"/>
        </w:rPr>
        <w:t>=</w:t>
      </w:r>
      <w:r>
        <w:rPr/>
        <w:t>s CTAs to SoCalGas</w:t>
      </w:r>
      <w:r>
        <w:rPr>
          <w:rFonts w:cs="WP TypographicSymbols" w:ascii="WP TypographicSymbols" w:hAnsi="WP TypographicSymbols"/>
        </w:rPr>
        <w:t>=</w:t>
      </w:r>
      <w:r>
        <w:rPr/>
        <w:t xml:space="preserve">  market is scarcely clear, given the differing storage situations of the two utilities,  as well as the vastly different markets for storage services within the state of California.  In addition, the current disastrous electric generation situation will only be further exacerbated by the lack of storage and balancing services for  gas-fired generation facilities in southern California. </w:t>
      </w:r>
    </w:p>
    <w:p>
      <w:pPr>
        <w:pStyle w:val="Normal"/>
        <w:tabs>
          <w:tab w:val="clear" w:pos="720"/>
          <w:tab w:val="left" w:pos="72" w:leader="none"/>
        </w:tabs>
        <w:spacing w:lineRule="auto" w:line="360"/>
        <w:rPr>
          <w:b/>
        </w:rPr>
      </w:pPr>
      <w:r>
        <w:rPr>
          <w:b/>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clear" w:pos="720"/>
          <w:tab w:val="left" w:pos="72" w:leader="none"/>
        </w:tabs>
        <w:spacing w:lineRule="auto" w:line="360"/>
        <w:ind w:firstLine="720" w:end="0"/>
        <w:rPr/>
      </w:pPr>
      <w:r>
        <w:rPr/>
        <w:t xml:space="preserve">The principal distinction between the Comprehensive Settlement and the Interim Settlement adopted by the PD may be summed up in one word: progress.  With regard to storage, the IS is essentially a </w:t>
      </w:r>
      <w:r>
        <w:rPr>
          <w:rFonts w:cs="WP TypographicSymbols" w:ascii="WP TypographicSymbols" w:hAnsi="WP TypographicSymbols"/>
        </w:rPr>
        <w:t>A</w:t>
      </w:r>
      <w:r>
        <w:rPr/>
        <w:t>do nothing</w:t>
      </w:r>
      <w:r>
        <w:rPr>
          <w:rFonts w:cs="WP TypographicSymbols" w:ascii="WP TypographicSymbols" w:hAnsi="WP TypographicSymbols"/>
        </w:rPr>
        <w:t>@</w:t>
      </w:r>
      <w:r>
        <w:rPr/>
        <w:t xml:space="preserve"> restructuring proposal.  Fundamentally, the IS has no unbundling of storage and balancing costs, and has no shift  to </w:t>
      </w:r>
      <w:r>
        <w:rPr>
          <w:rFonts w:cs="WP TypographicSymbols" w:ascii="WP TypographicSymbols" w:hAnsi="WP TypographicSymbols"/>
        </w:rPr>
        <w:t>A</w:t>
      </w:r>
      <w:r>
        <w:rPr/>
        <w:t>real</w:t>
      </w:r>
      <w:r>
        <w:rPr>
          <w:rFonts w:cs="WP TypographicSymbols" w:ascii="WP TypographicSymbols" w:hAnsi="WP TypographicSymbols"/>
        </w:rPr>
        <w:t>@</w:t>
      </w:r>
      <w:r>
        <w:rPr/>
        <w:t xml:space="preserve"> dollar rates, as California customers desire, and as the CS advances.  Without progress in this area, customers cannot effectively make economic choices about their storage and balancing service needs.  Competition in storage and balancing services is also further stifled by the IS</w:t>
      </w:r>
      <w:r>
        <w:rPr>
          <w:rFonts w:cs="WP TypographicSymbols" w:ascii="WP TypographicSymbols" w:hAnsi="WP TypographicSymbols"/>
        </w:rPr>
        <w:t>=</w:t>
      </w:r>
      <w:r>
        <w:rPr/>
        <w:t xml:space="preserve">  status quo approach  with respect to customer storage and balancing service choices.  Under the CS, all customers will have the opportunity to manage their storage and balancing needs with true economic choices regarding them, either with the utility as a default, or by contracting with other service providers.  By contrast, the IS strikes another blow against the development of a robust storage market in southern California.  The PD</w:t>
      </w:r>
      <w:r>
        <w:rPr>
          <w:rFonts w:cs="WP TypographicSymbols" w:ascii="WP TypographicSymbols" w:hAnsi="WP TypographicSymbols"/>
        </w:rPr>
        <w:t>=</w:t>
      </w:r>
      <w:r>
        <w:rPr/>
        <w:t xml:space="preserve">s adoption of the IS once again requires  California customers to </w:t>
      </w:r>
      <w:r>
        <w:rPr>
          <w:rFonts w:cs="WP TypographicSymbols" w:ascii="WP TypographicSymbols" w:hAnsi="WP TypographicSymbols"/>
        </w:rPr>
        <w:t>A</w:t>
      </w:r>
      <w:r>
        <w:rPr/>
        <w:t>wait and see</w:t>
      </w:r>
      <w:r>
        <w:rPr>
          <w:rFonts w:cs="WP TypographicSymbols" w:ascii="WP TypographicSymbols" w:hAnsi="WP TypographicSymbols"/>
        </w:rPr>
        <w:t>@</w:t>
      </w:r>
      <w:r>
        <w:rPr/>
        <w:t xml:space="preserve"> for another three years, during which they will have to  endure (and finance) another contentious BCAP proceeding and, potentially, another </w:t>
      </w:r>
      <w:r>
        <w:rPr>
          <w:rFonts w:cs="WP TypographicSymbols" w:ascii="WP TypographicSymbols" w:hAnsi="WP TypographicSymbols"/>
        </w:rPr>
        <w:t>A</w:t>
      </w:r>
      <w:r>
        <w:rPr/>
        <w:t>investigation</w:t>
      </w:r>
      <w:r>
        <w:rPr>
          <w:rFonts w:cs="WP TypographicSymbols" w:ascii="WP TypographicSymbols" w:hAnsi="WP TypographicSymbols"/>
        </w:rPr>
        <w:t>@</w:t>
      </w:r>
      <w:r>
        <w:rPr/>
        <w:t xml:space="preserve"> to </w:t>
      </w:r>
      <w:r>
        <w:rPr>
          <w:rFonts w:cs="WP TypographicSymbols" w:ascii="WP TypographicSymbols" w:hAnsi="WP TypographicSymbols"/>
        </w:rPr>
        <w:t>B</w:t>
      </w:r>
      <w:r>
        <w:rPr/>
        <w:t xml:space="preserve"> perhaps </w:t>
      </w:r>
      <w:r>
        <w:rPr>
          <w:rFonts w:cs="WP TypographicSymbols" w:ascii="WP TypographicSymbols" w:hAnsi="WP TypographicSymbols"/>
        </w:rPr>
        <w:t>B</w:t>
      </w:r>
      <w:r>
        <w:rPr/>
        <w:t xml:space="preserve"> advance the current market structure.  (PD, p. 3.)  This is not progress, and given the inherent lags in energy regulation at its best, is not the solution to the staggering problems that confront  California energy providers and consumers today.</w:t>
      </w:r>
    </w:p>
    <w:p>
      <w:pPr>
        <w:pStyle w:val="Normal"/>
        <w:tabs>
          <w:tab w:val="clear" w:pos="720"/>
          <w:tab w:val="left" w:pos="72" w:leader="none"/>
        </w:tabs>
        <w:spacing w:lineRule="auto" w:line="360"/>
        <w:rPr/>
      </w:pPr>
      <w:r>
        <w:rPr/>
        <w:t xml:space="preserve">  </w:t>
      </w:r>
    </w:p>
    <w:p>
      <w:pPr>
        <w:pStyle w:val="Normal"/>
        <w:tabs>
          <w:tab w:val="clear" w:pos="720"/>
          <w:tab w:val="left" w:pos="72" w:leader="none"/>
        </w:tabs>
        <w:spacing w:lineRule="auto" w:line="360"/>
        <w:ind w:firstLine="720" w:end="0"/>
        <w:rPr/>
      </w:pPr>
      <w:r>
        <w:rPr/>
        <w:t>For the reasons stated above, WHP unhesitatingly supports the Comprehensive Settlement and strongly urges the Commission to reject the PD and adopt the CS in its entirety.</w:t>
      </w:r>
    </w:p>
    <w:p>
      <w:pPr>
        <w:pStyle w:val="Normal"/>
        <w:tabs>
          <w:tab w:val="clear" w:pos="720"/>
          <w:tab w:val="left" w:pos="72" w:leader="none"/>
        </w:tabs>
        <w:spacing w:lineRule="auto" w:line="360"/>
        <w:rPr/>
      </w:pPr>
      <w:r>
        <w:rPr/>
      </w:r>
    </w:p>
    <w:p>
      <w:pPr>
        <w:pStyle w:val="Normal"/>
        <w:tabs>
          <w:tab w:val="clear" w:pos="720"/>
          <w:tab w:val="left" w:pos="72" w:leader="none"/>
        </w:tabs>
        <w:ind w:hanging="4320" w:start="4320" w:end="0"/>
        <w:rPr/>
      </w:pPr>
      <w:r>
        <w:rPr/>
        <w:t>Dated:</w:t>
        <w:tab/>
        <w:t>December 8, 2000</w:t>
        <w:tab/>
        <w:tab/>
        <w:tab/>
        <w:t>Respectfully submitted,</w:t>
      </w:r>
    </w:p>
    <w:p>
      <w:pPr>
        <w:pStyle w:val="Normal"/>
        <w:tabs>
          <w:tab w:val="clear" w:pos="720"/>
          <w:tab w:val="left" w:pos="72" w:leader="none"/>
        </w:tabs>
        <w:rPr/>
      </w:pPr>
      <w:r>
        <w:rPr/>
      </w:r>
    </w:p>
    <w:p>
      <w:pPr>
        <w:pStyle w:val="Normal"/>
        <w:tabs>
          <w:tab w:val="clear" w:pos="720"/>
          <w:tab w:val="left" w:pos="72" w:leader="none"/>
        </w:tabs>
        <w:rPr/>
      </w:pPr>
      <w:r>
        <w:rPr/>
      </w:r>
    </w:p>
    <w:p>
      <w:pPr>
        <w:pStyle w:val="Normal"/>
        <w:tabs>
          <w:tab w:val="clear" w:pos="720"/>
          <w:tab w:val="left" w:pos="72" w:leader="none"/>
        </w:tabs>
        <w:rPr/>
      </w:pPr>
      <w:r>
        <w:rPr/>
      </w:r>
    </w:p>
    <w:p>
      <w:pPr>
        <w:pStyle w:val="Normal"/>
        <w:tabs>
          <w:tab w:val="clear" w:pos="720"/>
          <w:tab w:val="left" w:pos="72" w:leader="none"/>
        </w:tabs>
        <w:ind w:firstLine="4320" w:end="0"/>
        <w:rPr/>
      </w:pPr>
      <w:r>
        <w:rPr/>
        <w:t>____________________________________________</w:t>
      </w:r>
    </w:p>
    <w:p>
      <w:pPr>
        <w:pStyle w:val="Normal"/>
        <w:tabs>
          <w:tab w:val="clear" w:pos="720"/>
          <w:tab w:val="left" w:pos="72" w:leader="none"/>
        </w:tabs>
        <w:ind w:firstLine="4320" w:end="0"/>
        <w:rPr/>
      </w:pPr>
      <w:r>
        <w:rPr/>
        <w:t>Philip A. Stohr</w:t>
      </w:r>
    </w:p>
    <w:p>
      <w:pPr>
        <w:pStyle w:val="Normal"/>
        <w:tabs>
          <w:tab w:val="clear" w:pos="720"/>
          <w:tab w:val="left" w:pos="72" w:leader="none"/>
        </w:tabs>
        <w:ind w:firstLine="4320" w:end="0"/>
        <w:rPr/>
      </w:pPr>
      <w:r>
        <w:rPr/>
        <w:t>Dan L. Carroll</w:t>
      </w:r>
    </w:p>
    <w:p>
      <w:pPr>
        <w:pStyle w:val="Normal"/>
        <w:tabs>
          <w:tab w:val="clear" w:pos="720"/>
          <w:tab w:val="left" w:pos="72" w:leader="none"/>
        </w:tabs>
        <w:ind w:firstLine="4320" w:end="0"/>
        <w:rPr/>
      </w:pPr>
      <w:r>
        <w:rPr/>
        <w:t>Ann L. Trowbridge</w:t>
      </w:r>
    </w:p>
    <w:p>
      <w:pPr>
        <w:pStyle w:val="Normal"/>
        <w:tabs>
          <w:tab w:val="clear" w:pos="720"/>
          <w:tab w:val="left" w:pos="72" w:leader="none"/>
        </w:tabs>
        <w:ind w:firstLine="4320" w:end="0"/>
        <w:rPr/>
      </w:pPr>
      <w:r>
        <w:rPr/>
        <w:t>Downey, Brand, Seymour &amp; Rohwer LLP</w:t>
      </w:r>
    </w:p>
    <w:p>
      <w:pPr>
        <w:pStyle w:val="Normal"/>
        <w:tabs>
          <w:tab w:val="clear" w:pos="720"/>
          <w:tab w:val="left" w:pos="72" w:leader="none"/>
        </w:tabs>
        <w:ind w:firstLine="4320" w:end="0"/>
        <w:rPr/>
      </w:pPr>
      <w:r>
        <w:rPr/>
        <w:t>555 Capitol Mall, 10</w:t>
      </w:r>
      <w:r>
        <w:rPr>
          <w:vertAlign w:val="superscript"/>
        </w:rPr>
        <w:t>th</w:t>
      </w:r>
      <w:r>
        <w:rPr/>
        <w:t xml:space="preserve"> Floor</w:t>
      </w:r>
    </w:p>
    <w:p>
      <w:pPr>
        <w:pStyle w:val="Normal"/>
        <w:tabs>
          <w:tab w:val="clear" w:pos="720"/>
          <w:tab w:val="left" w:pos="72" w:leader="none"/>
        </w:tabs>
        <w:ind w:firstLine="4320" w:end="0"/>
        <w:rPr/>
      </w:pPr>
      <w:r>
        <w:rPr/>
        <w:t>Sacramento, California 95814</w:t>
      </w:r>
    </w:p>
    <w:p>
      <w:pPr>
        <w:pStyle w:val="Normal"/>
        <w:tabs>
          <w:tab w:val="clear" w:pos="720"/>
          <w:tab w:val="left" w:pos="72" w:leader="none"/>
        </w:tabs>
        <w:ind w:firstLine="4320" w:end="0"/>
        <w:rPr>
          <w:b/>
        </w:rPr>
      </w:pPr>
      <w:r>
        <w:rPr>
          <w:b/>
        </w:rPr>
        <w:t>Attorneys for Western Hub Properties, LLC</w:t>
      </w:r>
    </w:p>
    <w:p>
      <w:pPr>
        <w:pStyle w:val="Normal"/>
        <w:tabs>
          <w:tab w:val="clear" w:pos="720"/>
          <w:tab w:val="left" w:pos="72" w:leader="none"/>
        </w:tabs>
        <w:rPr/>
      </w:pPr>
      <w:r>
        <w:rPr/>
      </w:r>
    </w:p>
    <w:p>
      <w:pPr>
        <w:pStyle w:val="Normal"/>
        <w:tabs>
          <w:tab w:val="clear" w:pos="720"/>
          <w:tab w:val="left" w:pos="72" w:leader="none"/>
        </w:tabs>
        <w:rPr/>
      </w:pPr>
      <w:r>
        <w:rPr/>
      </w:r>
    </w:p>
    <w:sectPr>
      <w:footnotePr>
        <w:numFmt w:val="decimal"/>
      </w:footnotePr>
      <w:type w:val="continuous"/>
      <w:pgSz w:w="12240" w:h="15840"/>
      <w:pgMar w:left="1440" w:right="117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Pr/>
    </w:r>
    <w:r>
      <w:rPr/>
      <w:fldChar w:fldCharType="end"/>
    </w:r>
    <w:r>
      <w:rPr>
        <w:rFonts w:cs="Arial" w:ascii="Arial" w:hAnsi="Arial"/>
        <w:sz w:val="12"/>
      </w:rPr>
      <w:t xml:space="preserve">#inal.IR </w:t>
    </w:r>
    <w:r>
      <w:fldChar w:fldCharType="begin"/>
    </w:r>
    <w:r>
      <w:rPr/>
      <w:instrText xml:space="preserve">ADVANCE \u10</w:instrText>
    </w:r>
    <w:r>
      <w:rPr/>
    </w:r>
    <w:r>
      <w:rPr/>
      <w:fldChar w:fldCharType="separate"/>
    </w:r>
    <w:r>
      <w:rPr/>
    </w:r>
    <w:r/>
    <w:r>
      <w:rPr/>
      <w:fldChar w:fldCharType="end"/>
    </w: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Pr/>
    </w:r>
    <w:r>
      <w:rPr/>
      <w:fldChar w:fldCharType="end"/>
    </w:r>
    <w:r>
      <w:rPr>
        <w:rFonts w:cs="Arial" w:ascii="Arial" w:hAnsi="Arial"/>
        <w:sz w:val="12"/>
      </w:rPr>
      <w:t xml:space="preserve">#inal.IR </w:t>
    </w:r>
    <w:r>
      <w:fldChar w:fldCharType="begin"/>
    </w:r>
    <w:r>
      <w:rPr/>
      <w:instrText xml:space="preserve">ADVANCE \u10</w:instrText>
    </w:r>
    <w:r>
      <w:rPr/>
    </w:r>
    <w:r>
      <w:rPr/>
      <w:fldChar w:fldCharType="separate"/>
    </w:r>
    <w:r>
      <w:rPr/>
    </w:r>
    <w:r/>
    <w:r>
      <w:rPr/>
      <w:fldChar w:fldCharType="end"/>
    </w: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270"/>
        <w:rPr/>
      </w:pPr>
      <w:r>
        <w:rPr>
          <w:rStyle w:val="FootnoteCharacters"/>
        </w:rPr>
        <w:footnoteRef/>
      </w:r>
      <w:r>
        <w:rPr/>
        <w:tab/>
        <w:t>There is no coincidence in the fact that the IS mirrors exactly the Joint Recommendation (JR) from SoCalGas</w:t>
      </w:r>
      <w:r>
        <w:rPr>
          <w:rFonts w:cs="WP TypographicSymbols" w:ascii="WP TypographicSymbols" w:hAnsi="WP TypographicSymbols"/>
        </w:rPr>
        <w:t>=</w:t>
      </w:r>
      <w:r>
        <w:rPr/>
        <w:t xml:space="preserve"> 1999 BCAP, which was also negotiated by only  three parties.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1">
    <w:name w:val="Body Text I1"/>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7200" w:leader="none"/>
      </w:tabs>
      <w:ind w:hanging="0" w:start="1440" w:end="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2000-12-11T21:29:00Z</dcterms:created>
  <dc:creator>Tom McCarthy</dc:creator>
  <dc:description/>
  <dc:language>en-CA</dc:language>
  <cp:lastModifiedBy>Tom McCarthy</cp:lastModifiedBy>
  <dcterms:modified xsi:type="dcterms:W3CDTF">2000-12-11T21:29:00Z</dcterms:modified>
  <cp:revision>2</cp:revision>
  <dc:subject/>
  <dc:title/>
</cp:coreProperties>
</file>