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sz w:val="22"/>
        </w:rPr>
      </w:pPr>
      <w:bookmarkStart w:id="0" w:name="QuickMark"/>
      <w:bookmarkEnd w:id="0"/>
      <w:r>
        <w:rPr>
          <w:sz w:val="22"/>
        </w:rPr>
        <w:tab/>
      </w:r>
      <w:r>
        <w:rPr>
          <w:b/>
          <w:sz w:val="22"/>
        </w:rPr>
        <w:t>ELECTRONIC TRADING AGREEMENT</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 Capital &amp; Trade Resources Corp.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widowControl/>
        <w:jc w:val="both"/>
        <w:rPr>
          <w:sz w:val="22"/>
        </w:rPr>
      </w:pPr>
      <w:r>
        <w:rPr>
          <w:sz w:val="22"/>
        </w:rPr>
      </w:r>
    </w:p>
    <w:p>
      <w:pPr>
        <w:pStyle w:val="Normal"/>
        <w:widowControl/>
        <w:ind w:firstLine="1440" w:end="0"/>
        <w:jc w:val="both"/>
        <w:rPr>
          <w:sz w:val="22"/>
        </w:rPr>
      </w:pPr>
      <w:r>
        <w:rPr>
          <w:sz w:val="22"/>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sz w:val="22"/>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sz w:val="22"/>
        </w:rPr>
        <w:t xml:space="preserve">  Counterparty hereby represents, warrants and covenants as follows:</w:t>
      </w:r>
    </w:p>
    <w:p>
      <w:pPr>
        <w:pStyle w:val="Normal"/>
        <w:widowControl/>
        <w:jc w:val="both"/>
        <w:rPr>
          <w:sz w:val="22"/>
        </w:rPr>
      </w:pPr>
      <w:r>
        <w:rPr>
          <w:sz w:val="22"/>
        </w:rPr>
      </w:r>
    </w:p>
    <w:p>
      <w:pPr>
        <w:pStyle w:val="Normal"/>
        <w:widowControl/>
        <w:ind w:firstLine="1440" w:end="0"/>
        <w:jc w:val="both"/>
        <w:rPr>
          <w:sz w:val="22"/>
        </w:rPr>
      </w:pPr>
      <w:r>
        <w:rPr>
          <w:sz w:val="22"/>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jc w:val="both"/>
        <w:rPr>
          <w:sz w:val="22"/>
        </w:rPr>
      </w:pPr>
      <w:r>
        <w:rPr>
          <w:sz w:val="22"/>
        </w:rPr>
      </w:r>
    </w:p>
    <w:p>
      <w:pPr>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pPr>
    </w:p>
    <w:p>
      <w:pPr>
        <w:pStyle w:val="Normal"/>
        <w:widowControl/>
        <w:ind w:firstLine="1440" w:end="0"/>
        <w:jc w:val="both"/>
        <w:rPr>
          <w:sz w:val="22"/>
        </w:rPr>
      </w:pPr>
      <w:r>
        <w:rPr>
          <w:sz w:val="22"/>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widowControl/>
        <w:jc w:val="both"/>
        <w:rPr>
          <w:sz w:val="22"/>
        </w:rPr>
      </w:pPr>
      <w:r>
        <w:rPr>
          <w:sz w:val="22"/>
        </w:rPr>
      </w:r>
    </w:p>
    <w:p>
      <w:pPr>
        <w:pStyle w:val="Normal"/>
        <w:widowControl/>
        <w:ind w:firstLine="1440" w:end="0"/>
        <w:jc w:val="both"/>
        <w:rPr>
          <w:sz w:val="22"/>
        </w:rPr>
      </w:pPr>
      <w:r>
        <w:rPr>
          <w:sz w:val="22"/>
        </w:rPr>
        <w:t>(c)</w:t>
        <w:tab/>
        <w:t>Counterparty shall comply with any and all laws, rules, regulations or orders applicable to Counterparty’s access to and use of the Website.</w:t>
      </w:r>
    </w:p>
    <w:p>
      <w:pPr>
        <w:pStyle w:val="Normal"/>
        <w:widowControl/>
        <w:jc w:val="both"/>
        <w:rPr>
          <w:sz w:val="22"/>
        </w:rPr>
      </w:pPr>
      <w:r>
        <w:rPr>
          <w:sz w:val="22"/>
        </w:rPr>
      </w:r>
    </w:p>
    <w:p>
      <w:pPr>
        <w:pStyle w:val="Normal"/>
        <w:widowControl/>
        <w:ind w:firstLine="1440" w:end="0"/>
        <w:jc w:val="both"/>
        <w:rPr>
          <w:sz w:val="22"/>
        </w:rPr>
      </w:pPr>
      <w:r>
        <w:rPr>
          <w:sz w:val="22"/>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widowControl/>
        <w:jc w:val="both"/>
        <w:rPr>
          <w:sz w:val="22"/>
        </w:rPr>
      </w:pPr>
      <w:r>
        <w:rPr>
          <w:sz w:val="22"/>
        </w:rPr>
      </w:r>
    </w:p>
    <w:p>
      <w:pPr>
        <w:pStyle w:val="Normal"/>
        <w:widowControl/>
        <w:ind w:firstLine="1440" w:end="0"/>
        <w:jc w:val="both"/>
        <w:rPr>
          <w:sz w:val="22"/>
        </w:rPr>
      </w:pPr>
      <w:r>
        <w:rPr>
          <w:sz w:val="22"/>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widowControl/>
        <w:jc w:val="both"/>
        <w:rPr>
          <w:sz w:val="22"/>
        </w:rPr>
      </w:pPr>
      <w:r>
        <w:rPr>
          <w:sz w:val="22"/>
        </w:rPr>
      </w:r>
    </w:p>
    <w:p>
      <w:pPr>
        <w:pStyle w:val="Normal"/>
        <w:widowControl/>
        <w:ind w:firstLine="1440" w:end="0"/>
        <w:jc w:val="both"/>
        <w:rPr>
          <w:sz w:val="22"/>
        </w:rPr>
      </w:pPr>
      <w:r>
        <w:rPr>
          <w:sz w:val="22"/>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the Counterparty any rights in respect of such sites.</w:t>
      </w:r>
    </w:p>
    <w:p>
      <w:pPr>
        <w:pStyle w:val="Normal"/>
        <w:widowControl/>
        <w:jc w:val="both"/>
        <w:rPr>
          <w:sz w:val="22"/>
        </w:rPr>
      </w:pPr>
      <w:r>
        <w:rPr>
          <w:sz w:val="22"/>
        </w:rPr>
      </w:r>
    </w:p>
    <w:p>
      <w:pPr>
        <w:pStyle w:val="Normal"/>
        <w:widowControl/>
        <w:ind w:firstLine="1440" w:end="0"/>
        <w:jc w:val="both"/>
        <w:rPr>
          <w:sz w:val="22"/>
        </w:rPr>
      </w:pPr>
      <w:r>
        <w:rPr>
          <w:sz w:val="22"/>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sectPr>
          <w:type w:val="continuous"/>
          <w:pgSz w:w="12240" w:h="15840"/>
          <w:pgMar w:left="2160" w:right="1440" w:gutter="0" w:header="720" w:top="776" w:footer="964" w:bottom="1020"/>
          <w:formProt w:val="false"/>
          <w:textDirection w:val="lrTb"/>
          <w:docGrid w:type="default" w:linePitch="360" w:charSpace="0"/>
        </w:sectPr>
      </w:pP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in effect as of the date of execution of such Transaction, </w:t>
      </w:r>
      <w:r>
        <w:rPr>
          <w:sz w:val="22"/>
          <w:u w:val="single"/>
        </w:rPr>
        <w:t>provided</w:t>
      </w:r>
      <w:r>
        <w:rPr>
          <w:sz w:val="22"/>
        </w:rPr>
        <w:t xml:space="preserve"> </w:t>
      </w:r>
      <w:r>
        <w:rPr>
          <w:sz w:val="22"/>
          <w:u w:val="single"/>
        </w:rPr>
        <w:t>that</w:t>
      </w:r>
      <w:r>
        <w:rPr>
          <w:sz w:val="22"/>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 Transaction will be initiated by Counterparty offering to buy from, or sell to, Enron, by “clicking” on the designated spaces on the Website.  The Website is not, and shall not be construed as, an offer to buy or sell by Enron.</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Counterparty’s offer at its sole discretion.  A Transaction shall be deemed executed at the time that Enron first signifies its acceptance of Counterparty’s offer, accessible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widowControl/>
        <w:jc w:val="both"/>
        <w:rPr>
          <w:sz w:val="22"/>
        </w:rPr>
      </w:pPr>
      <w:r>
        <w:rPr>
          <w:sz w:val="22"/>
        </w:rPr>
      </w:r>
    </w:p>
    <w:p>
      <w:pPr>
        <w:pStyle w:val="Normal"/>
        <w:widowControl/>
        <w:ind w:firstLine="1440" w:end="0"/>
        <w:jc w:val="both"/>
        <w:rPr>
          <w:sz w:val="22"/>
        </w:rPr>
      </w:pPr>
      <w:r>
        <w:rPr>
          <w:sz w:val="22"/>
        </w:rPr>
        <w:t>(e)</w:t>
        <w:tab/>
        <w:t>Enron may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sz w:val="22"/>
        </w:rPr>
      </w:pPr>
      <w:r>
        <w:rPr>
          <w:b/>
          <w:sz w:val="22"/>
        </w:rPr>
        <w:t>4.</w:t>
        <w:tab/>
      </w:r>
      <w:r>
        <w:rPr>
          <w:b/>
          <w:sz w:val="22"/>
          <w:u w:val="single"/>
        </w:rPr>
        <w:t>LIMITATION OF LIABILITY; INDEMNITY.</w:t>
      </w:r>
    </w:p>
    <w:p>
      <w:pPr>
        <w:pStyle w:val="Normal"/>
        <w:widowControl/>
        <w:jc w:val="both"/>
        <w:rPr>
          <w:sz w:val="22"/>
        </w:rPr>
      </w:pPr>
      <w:r>
        <w:rPr>
          <w:sz w:val="22"/>
        </w:rPr>
      </w:r>
    </w:p>
    <w:p>
      <w:pPr>
        <w:sectPr>
          <w:type w:val="continuous"/>
          <w:pgSz w:w="12240" w:h="15840"/>
          <w:pgMar w:left="2160" w:right="1440" w:gutter="0" w:header="720" w:top="776" w:footer="964" w:bottom="1020"/>
          <w:formProt w:val="false"/>
          <w:textDirection w:val="lrTb"/>
          <w:docGrid w:type="default" w:linePitch="360" w:charSpace="0"/>
        </w:sectPr>
      </w:pPr>
    </w:p>
    <w:p>
      <w:pPr>
        <w:pStyle w:val="Normal"/>
        <w:widowControl/>
        <w:ind w:firstLine="1440" w:end="0"/>
        <w:jc w:val="both"/>
        <w:rPr>
          <w:sz w:val="22"/>
        </w:rPr>
      </w:pPr>
      <w:r>
        <w:rPr>
          <w:sz w:val="22"/>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widowControl/>
        <w:jc w:val="both"/>
        <w:rPr>
          <w:sz w:val="22"/>
        </w:rPr>
      </w:pPr>
      <w:r>
        <w:rPr>
          <w:sz w:val="22"/>
        </w:rPr>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jc w:val="both"/>
        <w:rPr>
          <w:sz w:val="22"/>
        </w:rPr>
      </w:pPr>
      <w:r>
        <w:rPr>
          <w:sz w:val="22"/>
        </w:rPr>
      </w:r>
    </w:p>
    <w:p>
      <w:pPr>
        <w:sectPr>
          <w:type w:val="continuous"/>
          <w:pgSz w:w="12240" w:h="15840"/>
          <w:pgMar w:left="2160" w:right="1440" w:gutter="0" w:header="720" w:top="776" w:footer="964" w:bottom="1020"/>
          <w:formProt w:val="false"/>
          <w:textDirection w:val="lrTb"/>
          <w:docGrid w:type="default" w:linePitch="360" w:charSpace="0"/>
        </w:sectPr>
      </w:pPr>
    </w:p>
    <w:p>
      <w:pPr>
        <w:pStyle w:val="Normal"/>
        <w:widowControl/>
        <w:ind w:firstLine="1440" w:end="0"/>
        <w:jc w:val="both"/>
        <w:rPr/>
      </w:pPr>
      <w:r>
        <w:rPr>
          <w:sz w:val="22"/>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Section 6(e), </w:t>
      </w:r>
      <w:r>
        <w:rPr>
          <w:sz w:val="22"/>
          <w:u w:val="single"/>
        </w:rPr>
        <w:t>provided</w:t>
      </w:r>
      <w:r>
        <w:rPr>
          <w:sz w:val="22"/>
        </w:rPr>
        <w:t xml:space="preserve"> </w:t>
      </w:r>
      <w:r>
        <w:rPr>
          <w:sz w:val="22"/>
          <w:u w:val="single"/>
        </w:rPr>
        <w:t>that</w:t>
      </w:r>
      <w:r>
        <w:rPr>
          <w:sz w:val="22"/>
        </w:rPr>
        <w:t xml:space="preserve"> this Agreement shall remain in effect with respect to any Transactions effected prior to such termination.</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Counterparty without the express prior written consent of Enron.  This Agreement shall be binding upon each party and its successors and permitted assigns in accordance with its terms.</w:t>
      </w:r>
    </w:p>
    <w:p>
      <w:pPr>
        <w:pStyle w:val="Normal"/>
        <w:widowControl/>
        <w:jc w:val="both"/>
        <w:rPr>
          <w:sz w:val="22"/>
        </w:rPr>
      </w:pPr>
      <w:r>
        <w:rPr>
          <w:sz w:val="22"/>
        </w:rPr>
      </w:r>
    </w:p>
    <w:p>
      <w:pPr>
        <w:pStyle w:val="Normal"/>
        <w:widowControl/>
        <w:ind w:firstLine="1440" w:end="0"/>
        <w:jc w:val="both"/>
        <w:rPr>
          <w:sz w:val="22"/>
        </w:rPr>
      </w:pPr>
      <w:r>
        <w:rPr>
          <w:sz w:val="22"/>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rPr>
          <w:sz w:val="22"/>
        </w:rPr>
      </w:pPr>
      <w:r>
        <w:rPr>
          <w:sz w:val="22"/>
        </w:rPr>
      </w:r>
    </w:p>
    <w:sectPr>
      <w:type w:val="continuous"/>
      <w:pgSz w:w="12240" w:h="15840"/>
      <w:pgMar w:left="2160" w:right="1440" w:gutter="0" w:header="720" w:top="776" w:footer="964" w:bottom="10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p>
  <w:p>
    <w:pPr>
      <w:pStyle w:val="Normal"/>
      <w:rPr>
        <w:sz w:val="16"/>
      </w:rPr>
    </w:pPr>
    <w:r>
      <w:rPr>
        <w:sz w:val="16"/>
      </w:rPr>
      <w:t>NY12532: 259016.2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pPr>
    <w:r>
      <w:rPr/>
      <w:t>Version 1</w:t>
    </w:r>
  </w:p>
  <w:p>
    <w:pPr>
      <w:pStyle w:val="Normal"/>
      <w:spacing w:lineRule="exact" w:line="241"/>
      <w:jc w:val="end"/>
      <w:rPr/>
    </w:pPr>
    <w:r>
      <w:rPr/>
      <w:t>August 10, 199</w:t>
    </w:r>
  </w:p>
  <w:p>
    <w:pPr>
      <w:pStyle w:val="Normal"/>
      <w:spacing w:lineRule="exact" w:line="241"/>
      <w:jc w:val="end"/>
      <w:rPr/>
    </w:pPr>
    <w:r>
      <w:rPr/>
    </w:r>
  </w:p>
  <w:p>
    <w:pPr>
      <w:pStyle w:val="Normal"/>
      <w:spacing w:lineRule="exact" w:line="241"/>
      <w:jc w:val="end"/>
      <w:rPr/>
    </w:pPr>
    <w:r>
      <w:rPr/>
    </w:r>
  </w:p>
  <w:p>
    <w:pPr>
      <w:pStyle w:val="Normal"/>
      <w:spacing w:lineRule="exact" w:line="240"/>
      <w:rPr/>
    </w:pPr>
    <w:r>
      <w:rPr/>
    </w:r>
  </w:p>
</w:hdr>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1999-07-30T12:56:00Z</dcterms:created>
  <dc:creator>mtaylo1</dc:creator>
  <dc:description/>
  <dc:language>en-CA</dc:language>
  <cp:lastModifiedBy>mtaylo1</cp:lastModifiedBy>
  <cp:lastPrinted>1999-07-29T17:30:00Z</cp:lastPrinted>
  <dcterms:modified xsi:type="dcterms:W3CDTF">1999-07-30T12:58:00Z</dcterms:modified>
  <cp:revision>3</cp:revision>
  <dc:subject/>
  <dc:title/>
</cp:coreProperties>
</file>