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Heading1"/>
        <w:ind w:hanging="0" w:start="0"/>
        <w:rPr>
          <w:sz w:val="24"/>
        </w:rPr>
      </w:pPr>
      <w:r>
        <w:rPr>
          <w:sz w:val="24"/>
        </w:rPr>
      </w:r>
    </w:p>
    <w:p>
      <w:pPr>
        <w:pStyle w:val="Heading1"/>
        <w:ind w:hanging="0" w:start="0"/>
        <w:rPr/>
      </w:pPr>
      <w:r>
        <w:rPr/>
        <w:t>April 20, 2001</w:t>
      </w:r>
    </w:p>
    <w:p>
      <w:pPr>
        <w:pStyle w:val="Normal"/>
        <w:rPr>
          <w:sz w:val="24"/>
        </w:rPr>
      </w:pPr>
      <w:r>
        <w:rPr>
          <w:sz w:val="24"/>
        </w:rPr>
      </w:r>
    </w:p>
    <w:p>
      <w:pPr>
        <w:pStyle w:val="Normal"/>
        <w:rPr>
          <w:sz w:val="24"/>
        </w:rPr>
      </w:pPr>
      <w:r>
        <w:rPr>
          <w:sz w:val="24"/>
        </w:rPr>
      </w:r>
    </w:p>
    <w:p>
      <w:pPr>
        <w:pStyle w:val="Address"/>
        <w:rPr>
          <w:sz w:val="24"/>
        </w:rPr>
      </w:pPr>
      <w:r>
        <w:rPr>
          <w:sz w:val="24"/>
        </w:rPr>
      </w:r>
    </w:p>
    <w:p>
      <w:pPr>
        <w:pStyle w:val="Address"/>
        <w:rPr>
          <w:b/>
          <w:u w:val="single"/>
        </w:rPr>
      </w:pPr>
      <w:r>
        <w:rPr>
          <w:b/>
          <w:u w:val="single"/>
        </w:rPr>
        <w:t>VIA FACSIMILE (212-325-8304)</w:t>
      </w:r>
    </w:p>
    <w:p>
      <w:pPr>
        <w:pStyle w:val="Normal"/>
        <w:rPr>
          <w:b/>
          <w:sz w:val="24"/>
          <w:u w:val="single"/>
        </w:rPr>
      </w:pPr>
      <w:r>
        <w:rPr>
          <w:b/>
          <w:sz w:val="24"/>
          <w:u w:val="single"/>
        </w:rPr>
      </w:r>
    </w:p>
    <w:p>
      <w:pPr>
        <w:pStyle w:val="Normal"/>
        <w:rPr>
          <w:sz w:val="24"/>
        </w:rPr>
      </w:pPr>
      <w:r>
        <w:rPr>
          <w:sz w:val="24"/>
        </w:rPr>
      </w:r>
    </w:p>
    <w:p>
      <w:pPr>
        <w:pStyle w:val="Address"/>
        <w:rPr/>
      </w:pPr>
      <w:r>
        <w:rPr/>
        <w:t>Credit Suisse First Boston, New York Branch</w:t>
      </w:r>
    </w:p>
    <w:p>
      <w:pPr>
        <w:pStyle w:val="Address"/>
        <w:rPr/>
      </w:pPr>
      <w:r>
        <w:rPr/>
        <w:t>Administrative Agent</w:t>
      </w:r>
    </w:p>
    <w:p>
      <w:pPr>
        <w:pStyle w:val="Address"/>
        <w:rPr/>
      </w:pPr>
      <w:r>
        <w:rPr/>
        <w:t>Attention: Shazia Sarker</w:t>
      </w:r>
    </w:p>
    <w:p>
      <w:pPr>
        <w:pStyle w:val="Address"/>
        <w:rPr/>
      </w:pPr>
      <w:r>
        <w:rPr/>
        <w:t>11 Madison Avenue</w:t>
      </w:r>
    </w:p>
    <w:p>
      <w:pPr>
        <w:pStyle w:val="Normal"/>
        <w:rPr>
          <w:sz w:val="24"/>
        </w:rPr>
      </w:pPr>
      <w:r>
        <w:rPr>
          <w:sz w:val="24"/>
        </w:rPr>
        <w:t>New York, New York 10010</w:t>
      </w:r>
    </w:p>
    <w:p>
      <w:pPr>
        <w:pStyle w:val="Normal"/>
        <w:rPr>
          <w:sz w:val="24"/>
        </w:rPr>
      </w:pPr>
      <w:r>
        <w:rPr>
          <w:sz w:val="24"/>
        </w:rPr>
      </w:r>
    </w:p>
    <w:p>
      <w:pPr>
        <w:pStyle w:val="Normal"/>
        <w:rPr>
          <w:b/>
          <w:i/>
          <w:i/>
          <w:sz w:val="24"/>
        </w:rPr>
      </w:pPr>
      <w:r>
        <w:rPr>
          <w:b/>
          <w:i/>
          <w:sz w:val="24"/>
        </w:rPr>
        <w:tab/>
        <w:tab/>
        <w:t>Re:</w:t>
        <w:tab/>
      </w:r>
      <w:r>
        <w:rPr>
          <w:b/>
          <w:i/>
          <w:sz w:val="24"/>
          <w:u w:val="single"/>
        </w:rPr>
        <w:t>Notice of Intent to Purchase Specified Option Property</w:t>
      </w:r>
    </w:p>
    <w:p>
      <w:pPr>
        <w:pStyle w:val="Normal"/>
        <w:rPr>
          <w:b/>
          <w:i/>
          <w:i/>
          <w:sz w:val="24"/>
        </w:rPr>
      </w:pPr>
      <w:r>
        <w:rPr>
          <w:b/>
          <w:i/>
          <w:sz w:val="24"/>
        </w:rPr>
      </w:r>
    </w:p>
    <w:p>
      <w:pPr>
        <w:pStyle w:val="Address"/>
        <w:rPr/>
      </w:pPr>
      <w:r>
        <w:rPr/>
        <w:t>Dear Ms. Sarker:</w:t>
      </w:r>
    </w:p>
    <w:p>
      <w:pPr>
        <w:pStyle w:val="Address"/>
        <w:rPr/>
      </w:pPr>
      <w:r>
        <w:rPr/>
      </w:r>
    </w:p>
    <w:p>
      <w:pPr>
        <w:pStyle w:val="Address"/>
        <w:jc w:val="both"/>
        <w:rPr/>
      </w:pPr>
      <w:r>
        <w:rPr/>
        <w:t xml:space="preserve">This letter will serve as written notice to the Administrative Agent that (1) the Development and Construction Manager under the Development and Construction Management Agreement dated as of December 15, 2000, and amended and restated as of April 6, 2001, among E-Next Generation LLC, the Developer Subsidiaries from time to time parties thereto, and Enron North America Corp., as Development and Construction Manager (as such terms are defined in such agreement), has designated Salmon Energy LLC, a limited liability company organized under the laws of the State of Delware (“Salmon” or “Purchaser”), as its designee pursuant to Section 6.1(a) of such Development and Construction Management Agreement, and (2) Salmon intends to purchase the Specified Option Property listed (and as defined) in Exhibit 1 attached hereto.  The applicable purchase date shall be April 27, 2001.  </w:t>
      </w:r>
    </w:p>
    <w:p>
      <w:pPr>
        <w:pStyle w:val="Address"/>
        <w:ind w:firstLine="720" w:end="0"/>
        <w:jc w:val="both"/>
        <w:rPr/>
      </w:pPr>
      <w:r>
        <w:rPr/>
      </w:r>
    </w:p>
    <w:p>
      <w:pPr>
        <w:pStyle w:val="Address"/>
        <w:jc w:val="both"/>
        <w:rPr/>
      </w:pPr>
      <w:r>
        <w:rPr/>
        <w:t>In connection therewith, attached also are drafts of the final form of the closing documents.</w:t>
      </w:r>
    </w:p>
    <w:p>
      <w:pPr>
        <w:pStyle w:val="Address"/>
        <w:rPr/>
      </w:pPr>
      <w:r>
        <w:rPr/>
      </w:r>
    </w:p>
    <w:p>
      <w:pPr>
        <w:pStyle w:val="Address"/>
        <w:rPr/>
      </w:pPr>
      <w:r>
        <w:rPr/>
        <w:t>Sincerely,</w:t>
      </w:r>
    </w:p>
    <w:p>
      <w:pPr>
        <w:pStyle w:val="Address"/>
        <w:rPr/>
      </w:pPr>
      <w:r>
        <w:rPr/>
      </w:r>
    </w:p>
    <w:p>
      <w:pPr>
        <w:pStyle w:val="Normal"/>
        <w:keepNext w:val="true"/>
        <w:rPr>
          <w:b/>
          <w:bCs/>
          <w:sz w:val="24"/>
        </w:rPr>
      </w:pPr>
      <w:r>
        <w:rPr>
          <w:b/>
          <w:bCs/>
          <w:sz w:val="24"/>
        </w:rPr>
        <w:t>ENRON NORTH AMERICA CORP.</w:t>
      </w:r>
    </w:p>
    <w:p>
      <w:pPr>
        <w:pStyle w:val="Normal"/>
        <w:keepNext w:val="true"/>
        <w:rPr>
          <w:b/>
          <w:bCs/>
          <w:sz w:val="24"/>
        </w:rPr>
      </w:pPr>
      <w:r>
        <w:rPr>
          <w:b/>
          <w:bCs/>
          <w:sz w:val="24"/>
        </w:rPr>
      </w:r>
    </w:p>
    <w:p>
      <w:pPr>
        <w:pStyle w:val="BodyText"/>
        <w:keepNext w:val="true"/>
        <w:keepLines/>
        <w:ind w:hanging="0" w:end="0"/>
        <w:rPr/>
      </w:pPr>
      <w:r>
        <w:rPr/>
        <w:t>By: ___________________________</w:t>
      </w:r>
    </w:p>
    <w:p>
      <w:pPr>
        <w:pStyle w:val="BodyText"/>
        <w:keepNext w:val="true"/>
        <w:keepLines/>
        <w:ind w:hanging="0" w:end="0"/>
        <w:rPr/>
      </w:pPr>
      <w:r>
        <w:rPr/>
        <w:t>Name:_________________________</w:t>
      </w:r>
    </w:p>
    <w:p>
      <w:pPr>
        <w:pStyle w:val="Address"/>
        <w:rPr/>
      </w:pPr>
      <w:r>
        <w:rPr/>
        <w:t>Title:__________________________</w:t>
      </w:r>
    </w:p>
    <w:p>
      <w:pPr>
        <w:pStyle w:val="Address"/>
        <w:rPr/>
      </w:pPr>
      <w:r>
        <w:rPr/>
      </w:r>
    </w:p>
    <w:p>
      <w:pPr>
        <w:pStyle w:val="Address"/>
        <w:rPr/>
      </w:pPr>
      <w:r>
        <w:rPr/>
      </w:r>
    </w:p>
    <w:p>
      <w:pPr>
        <w:pStyle w:val="Address"/>
        <w:rPr/>
      </w:pPr>
      <w:r>
        <w:rPr/>
        <w:t>Attachments a/s</w:t>
      </w:r>
    </w:p>
    <w:p>
      <w:pPr>
        <w:pStyle w:val="Address"/>
        <w:rPr/>
      </w:pPr>
      <w:r>
        <w:rPr/>
      </w:r>
    </w:p>
    <w:p>
      <w:pPr>
        <w:pStyle w:val="Address"/>
        <w:rPr/>
      </w:pPr>
      <w:r>
        <w:rPr/>
      </w:r>
    </w:p>
    <w:p>
      <w:pPr>
        <w:pStyle w:val="Normal"/>
        <w:keepNext w:val="true"/>
        <w:rPr>
          <w:b/>
          <w:bCs/>
          <w:caps/>
          <w:sz w:val="24"/>
        </w:rPr>
      </w:pPr>
      <w:r>
        <w:rPr>
          <w:b/>
          <w:bCs/>
          <w:caps/>
          <w:sz w:val="24"/>
        </w:rPr>
        <w:t>Consent OF PURCHASER:</w:t>
      </w:r>
    </w:p>
    <w:p>
      <w:pPr>
        <w:pStyle w:val="Normal"/>
        <w:keepNext w:val="true"/>
        <w:rPr>
          <w:b/>
          <w:bCs/>
          <w:caps/>
          <w:sz w:val="24"/>
        </w:rPr>
      </w:pPr>
      <w:r>
        <w:rPr>
          <w:b/>
          <w:bCs/>
          <w:caps/>
          <w:sz w:val="24"/>
        </w:rPr>
      </w:r>
    </w:p>
    <w:p>
      <w:pPr>
        <w:pStyle w:val="Address"/>
        <w:rPr>
          <w:b/>
          <w:bCs/>
          <w:caps/>
        </w:rPr>
      </w:pPr>
      <w:r>
        <w:rPr>
          <w:b/>
          <w:bCs/>
          <w:caps/>
        </w:rPr>
        <w:t>SALMON ENERGY LLC</w:t>
      </w:r>
    </w:p>
    <w:p>
      <w:pPr>
        <w:pStyle w:val="BodyText"/>
        <w:keepNext w:val="true"/>
        <w:keepLines/>
        <w:ind w:hanging="0" w:end="0"/>
        <w:rPr>
          <w:b/>
          <w:bCs/>
          <w:caps/>
        </w:rPr>
      </w:pPr>
      <w:r>
        <w:rPr>
          <w:b/>
          <w:bCs/>
          <w:caps/>
        </w:rPr>
      </w:r>
    </w:p>
    <w:p>
      <w:pPr>
        <w:pStyle w:val="BodyText"/>
        <w:keepNext w:val="true"/>
        <w:keepLines/>
        <w:ind w:hanging="0" w:end="0"/>
        <w:rPr/>
      </w:pPr>
      <w:r>
        <w:rPr/>
        <w:t>By: ___________________________</w:t>
      </w:r>
    </w:p>
    <w:p>
      <w:pPr>
        <w:pStyle w:val="BodyText"/>
        <w:keepNext w:val="true"/>
        <w:keepLines/>
        <w:ind w:hanging="0" w:end="0"/>
        <w:rPr/>
      </w:pPr>
      <w:r>
        <w:rPr/>
        <w:t>Name:_________________________</w:t>
      </w:r>
    </w:p>
    <w:p>
      <w:pPr>
        <w:pStyle w:val="Address"/>
        <w:rPr/>
      </w:pPr>
      <w:r>
        <w:rPr/>
        <w:t>Title:__________________________</w:t>
      </w:r>
    </w:p>
    <w:p>
      <w:pPr>
        <w:pStyle w:val="Address"/>
        <w:rPr/>
      </w:pPr>
      <w:r>
        <w:rPr/>
      </w:r>
    </w:p>
    <w:p>
      <w:pPr>
        <w:pStyle w:val="Normal"/>
        <w:rPr>
          <w:sz w:val="24"/>
        </w:rPr>
      </w:pPr>
      <w:r>
        <w:rPr>
          <w:sz w:val="24"/>
        </w:rPr>
      </w:r>
    </w:p>
    <w:p>
      <w:pPr>
        <w:pStyle w:val="Normal"/>
        <w:rPr>
          <w:sz w:val="24"/>
        </w:rPr>
      </w:pPr>
      <w:r>
        <w:rPr>
          <w:sz w:val="24"/>
        </w:rPr>
      </w:r>
      <w:r>
        <w:br w:type="page"/>
      </w:r>
    </w:p>
    <w:p>
      <w:pPr>
        <w:pStyle w:val="Heading2"/>
        <w:ind w:hanging="0" w:start="0"/>
        <w:rPr>
          <w:b/>
          <w:caps/>
        </w:rPr>
      </w:pPr>
      <w:r>
        <w:rPr>
          <w:b/>
          <w:caps/>
        </w:rPr>
        <w:t>Exhibit 1</w:t>
      </w:r>
    </w:p>
    <w:p>
      <w:pPr>
        <w:pStyle w:val="Normal"/>
        <w:rPr>
          <w:b/>
          <w:caps/>
          <w:sz w:val="24"/>
        </w:rPr>
      </w:pPr>
      <w:r>
        <w:rPr>
          <w:b/>
          <w:caps/>
          <w:sz w:val="24"/>
        </w:rPr>
      </w:r>
    </w:p>
    <w:p>
      <w:pPr>
        <w:pStyle w:val="Heading2"/>
        <w:ind w:hanging="0" w:start="0"/>
        <w:rPr>
          <w:b/>
          <w:u w:val="single"/>
        </w:rPr>
      </w:pPr>
      <w:r>
        <w:rPr>
          <w:b/>
          <w:u w:val="single"/>
        </w:rPr>
        <w:t>Specified Option Property</w:t>
      </w:r>
    </w:p>
    <w:p>
      <w:pPr>
        <w:pStyle w:val="Normal"/>
        <w:rPr>
          <w:b/>
          <w:sz w:val="24"/>
          <w:u w:val="single"/>
        </w:rPr>
      </w:pPr>
      <w:r>
        <w:rPr>
          <w:b/>
          <w:sz w:val="24"/>
          <w:u w:val="single"/>
        </w:rPr>
      </w:r>
    </w:p>
    <w:p>
      <w:pPr>
        <w:pStyle w:val="Normal"/>
        <w:rPr>
          <w:sz w:val="24"/>
        </w:rPr>
      </w:pPr>
      <w:r>
        <w:rPr>
          <w:sz w:val="24"/>
        </w:rPr>
      </w:r>
    </w:p>
    <w:p>
      <w:pPr>
        <w:pStyle w:val="Address"/>
        <w:rPr>
          <w:sz w:val="24"/>
        </w:rPr>
      </w:pPr>
      <w:r>
        <w:rPr>
          <w:sz w:val="24"/>
        </w:rPr>
      </w:r>
    </w:p>
    <w:p>
      <w:pPr>
        <w:pStyle w:val="Normal"/>
        <w:numPr>
          <w:ilvl w:val="0"/>
          <w:numId w:val="3"/>
        </w:numPr>
        <w:rPr>
          <w:b/>
          <w:bCs/>
          <w:sz w:val="24"/>
        </w:rPr>
      </w:pPr>
      <w:r>
        <w:rPr>
          <w:b/>
          <w:bCs/>
          <w:sz w:val="24"/>
        </w:rPr>
        <w:t>Equipment Type</w:t>
      </w:r>
    </w:p>
    <w:p>
      <w:pPr>
        <w:pStyle w:val="Normal"/>
        <w:rPr>
          <w:b/>
          <w:bCs/>
          <w:sz w:val="24"/>
        </w:rPr>
      </w:pPr>
      <w:r>
        <w:rPr>
          <w:b/>
          <w:bCs/>
          <w:sz w:val="24"/>
        </w:rPr>
      </w:r>
    </w:p>
    <w:p>
      <w:pPr>
        <w:pStyle w:val="Normal"/>
        <w:numPr>
          <w:ilvl w:val="0"/>
          <w:numId w:val="4"/>
        </w:numPr>
        <w:rPr>
          <w:color w:val="000000"/>
          <w:sz w:val="24"/>
        </w:rPr>
      </w:pPr>
      <w:r>
        <w:rPr>
          <w:color w:val="000000"/>
          <w:sz w:val="24"/>
        </w:rPr>
        <w:t>Four (4) LM6000 Enhanced SPRINT Dual-fuel Combustion Turbine Generator Sets</w:t>
      </w:r>
    </w:p>
    <w:p>
      <w:pPr>
        <w:pStyle w:val="Normal"/>
        <w:rPr>
          <w:color w:val="000000"/>
          <w:sz w:val="24"/>
        </w:rPr>
      </w:pPr>
      <w:r>
        <w:rPr>
          <w:color w:val="000000"/>
          <w:sz w:val="24"/>
        </w:rPr>
      </w:r>
    </w:p>
    <w:p>
      <w:pPr>
        <w:pStyle w:val="Normal"/>
        <w:numPr>
          <w:ilvl w:val="0"/>
          <w:numId w:val="3"/>
        </w:numPr>
        <w:rPr>
          <w:b/>
          <w:bCs/>
          <w:sz w:val="24"/>
        </w:rPr>
      </w:pPr>
      <w:r>
        <w:rPr>
          <w:b/>
          <w:bCs/>
          <w:sz w:val="24"/>
        </w:rPr>
        <w:t>Equipment Manufacturer</w:t>
      </w:r>
    </w:p>
    <w:p>
      <w:pPr>
        <w:pStyle w:val="Normal"/>
        <w:rPr>
          <w:b/>
          <w:bCs/>
          <w:sz w:val="24"/>
        </w:rPr>
      </w:pPr>
      <w:r>
        <w:rPr>
          <w:b/>
          <w:bCs/>
          <w:sz w:val="24"/>
        </w:rPr>
      </w:r>
    </w:p>
    <w:p>
      <w:pPr>
        <w:pStyle w:val="Normal"/>
        <w:numPr>
          <w:ilvl w:val="0"/>
          <w:numId w:val="2"/>
        </w:numPr>
        <w:rPr>
          <w:sz w:val="24"/>
        </w:rPr>
      </w:pPr>
      <w:r>
        <w:rPr>
          <w:sz w:val="24"/>
        </w:rPr>
        <w:t>GE Packaged Power</w:t>
      </w:r>
    </w:p>
    <w:p>
      <w:pPr>
        <w:pStyle w:val="Normal"/>
        <w:rPr>
          <w:sz w:val="24"/>
        </w:rPr>
      </w:pPr>
      <w:r>
        <w:rPr>
          <w:sz w:val="24"/>
        </w:rPr>
      </w:r>
    </w:p>
    <w:p>
      <w:pPr>
        <w:pStyle w:val="Normal"/>
        <w:numPr>
          <w:ilvl w:val="0"/>
          <w:numId w:val="3"/>
        </w:numPr>
        <w:rPr>
          <w:b/>
          <w:bCs/>
          <w:sz w:val="24"/>
        </w:rPr>
      </w:pPr>
      <w:r>
        <w:rPr>
          <w:b/>
          <w:bCs/>
          <w:sz w:val="24"/>
        </w:rPr>
        <w:t>Equipment Serial Numbers</w:t>
      </w:r>
    </w:p>
    <w:p>
      <w:pPr>
        <w:pStyle w:val="Address"/>
        <w:rPr>
          <w:b/>
          <w:bCs/>
          <w:sz w:val="24"/>
        </w:rPr>
      </w:pPr>
      <w:r>
        <w:rPr>
          <w:b/>
          <w:bCs/>
          <w:sz w:val="24"/>
        </w:rPr>
      </w:r>
    </w:p>
    <w:p>
      <w:pPr>
        <w:pStyle w:val="Normal"/>
        <w:numPr>
          <w:ilvl w:val="0"/>
          <w:numId w:val="2"/>
        </w:numPr>
        <w:rPr>
          <w:color w:val="000000"/>
          <w:sz w:val="24"/>
        </w:rPr>
      </w:pPr>
      <w:r>
        <w:rPr>
          <w:color w:val="000000"/>
          <w:sz w:val="24"/>
        </w:rPr>
        <w:t>310889/19;</w:t>
      </w:r>
    </w:p>
    <w:p>
      <w:pPr>
        <w:pStyle w:val="Normal"/>
        <w:ind w:start="360" w:end="0"/>
        <w:rPr>
          <w:color w:val="000000"/>
          <w:sz w:val="24"/>
        </w:rPr>
      </w:pPr>
      <w:r>
        <w:rPr>
          <w:color w:val="000000"/>
          <w:sz w:val="24"/>
        </w:rPr>
      </w:r>
    </w:p>
    <w:p>
      <w:pPr>
        <w:pStyle w:val="Normal"/>
        <w:numPr>
          <w:ilvl w:val="0"/>
          <w:numId w:val="2"/>
        </w:numPr>
        <w:rPr>
          <w:color w:val="000000"/>
          <w:sz w:val="24"/>
        </w:rPr>
      </w:pPr>
      <w:r>
        <w:rPr>
          <w:color w:val="000000"/>
          <w:sz w:val="24"/>
        </w:rPr>
        <w:t>310890/20;</w:t>
      </w:r>
    </w:p>
    <w:p>
      <w:pPr>
        <w:pStyle w:val="Normal"/>
        <w:ind w:start="360" w:end="0"/>
        <w:rPr>
          <w:color w:val="000000"/>
          <w:sz w:val="24"/>
        </w:rPr>
      </w:pPr>
      <w:r>
        <w:rPr>
          <w:color w:val="000000"/>
          <w:sz w:val="24"/>
        </w:rPr>
      </w:r>
    </w:p>
    <w:p>
      <w:pPr>
        <w:pStyle w:val="Normal"/>
        <w:numPr>
          <w:ilvl w:val="0"/>
          <w:numId w:val="2"/>
        </w:numPr>
        <w:rPr>
          <w:color w:val="000000"/>
          <w:sz w:val="24"/>
        </w:rPr>
      </w:pPr>
      <w:r>
        <w:rPr>
          <w:color w:val="000000"/>
          <w:sz w:val="24"/>
        </w:rPr>
        <w:t xml:space="preserve">309994/23; and </w:t>
      </w:r>
    </w:p>
    <w:p>
      <w:pPr>
        <w:pStyle w:val="Normal"/>
        <w:ind w:start="360" w:end="0"/>
        <w:rPr>
          <w:color w:val="000000"/>
          <w:sz w:val="24"/>
        </w:rPr>
      </w:pPr>
      <w:r>
        <w:rPr>
          <w:color w:val="000000"/>
          <w:sz w:val="24"/>
        </w:rPr>
      </w:r>
    </w:p>
    <w:p>
      <w:pPr>
        <w:pStyle w:val="Normal"/>
        <w:numPr>
          <w:ilvl w:val="0"/>
          <w:numId w:val="2"/>
        </w:numPr>
        <w:rPr>
          <w:sz w:val="24"/>
        </w:rPr>
      </w:pPr>
      <w:r>
        <w:rPr>
          <w:color w:val="000000"/>
          <w:sz w:val="24"/>
        </w:rPr>
        <w:t>Unit 28 (no designated serial number as of the date of this Notice)</w:t>
      </w:r>
    </w:p>
    <w:p>
      <w:pPr>
        <w:pStyle w:val="Normal"/>
        <w:rPr>
          <w:sz w:val="24"/>
        </w:rPr>
      </w:pPr>
      <w:r>
        <w:rPr>
          <w:sz w:val="24"/>
        </w:rPr>
      </w:r>
    </w:p>
    <w:p>
      <w:pPr>
        <w:pStyle w:val="Normal"/>
        <w:numPr>
          <w:ilvl w:val="0"/>
          <w:numId w:val="3"/>
        </w:numPr>
        <w:rPr>
          <w:b/>
          <w:bCs/>
          <w:sz w:val="24"/>
        </w:rPr>
      </w:pPr>
      <w:r>
        <w:rPr>
          <w:b/>
          <w:bCs/>
          <w:sz w:val="24"/>
        </w:rPr>
        <w:t>Equipment Location</w:t>
      </w:r>
    </w:p>
    <w:p>
      <w:pPr>
        <w:pStyle w:val="Normal"/>
        <w:rPr>
          <w:b/>
          <w:bCs/>
          <w:sz w:val="24"/>
        </w:rPr>
      </w:pPr>
      <w:r>
        <w:rPr>
          <w:b/>
          <w:bCs/>
          <w:sz w:val="24"/>
        </w:rPr>
      </w:r>
    </w:p>
    <w:p>
      <w:pPr>
        <w:pStyle w:val="Normal"/>
        <w:numPr>
          <w:ilvl w:val="0"/>
          <w:numId w:val="2"/>
        </w:numPr>
        <w:rPr>
          <w:sz w:val="24"/>
        </w:rPr>
      </w:pPr>
      <w:r>
        <w:rPr>
          <w:sz w:val="24"/>
        </w:rPr>
        <w:t xml:space="preserve">GE Fabrication Yard (Houston, Texas) </w:t>
      </w:r>
    </w:p>
    <w:p>
      <w:pPr>
        <w:pStyle w:val="Normal"/>
        <w:ind w:start="360" w:end="0"/>
        <w:rPr>
          <w:sz w:val="24"/>
        </w:rPr>
      </w:pPr>
      <w:r>
        <w:rPr>
          <w:sz w:val="24"/>
        </w:rPr>
      </w:r>
    </w:p>
    <w:p>
      <w:pPr>
        <w:pStyle w:val="Normal"/>
        <w:numPr>
          <w:ilvl w:val="0"/>
          <w:numId w:val="3"/>
        </w:numPr>
        <w:rPr>
          <w:b/>
          <w:bCs/>
          <w:sz w:val="24"/>
        </w:rPr>
      </w:pPr>
      <w:r>
        <w:rPr>
          <w:b/>
          <w:bCs/>
          <w:sz w:val="24"/>
        </w:rPr>
        <w:t>Specifics of Contracts being Assigned (Name, Parties, Date, Contract Rights)</w:t>
      </w:r>
    </w:p>
    <w:p>
      <w:pPr>
        <w:pStyle w:val="Normal"/>
        <w:rPr>
          <w:b/>
          <w:bCs/>
          <w:sz w:val="24"/>
        </w:rPr>
      </w:pPr>
      <w:r>
        <w:rPr>
          <w:b/>
          <w:bCs/>
          <w:sz w:val="24"/>
        </w:rPr>
      </w:r>
    </w:p>
    <w:p>
      <w:pPr>
        <w:pStyle w:val="Normal"/>
        <w:numPr>
          <w:ilvl w:val="0"/>
          <w:numId w:val="2"/>
        </w:numPr>
        <w:rPr>
          <w:sz w:val="24"/>
        </w:rPr>
      </w:pPr>
      <w:r>
        <w:rPr>
          <w:sz w:val="24"/>
        </w:rPr>
        <w:t>All rights, interest, title and obligations as contained in</w:t>
      </w:r>
      <w:r>
        <w:rPr>
          <w:color w:val="000000"/>
          <w:sz w:val="24"/>
        </w:rPr>
        <w:t xml:space="preserve"> that certain Agreement for 24 LM-6000 Enhanced SPRINT Gas Turbine Generator Sets </w:t>
      </w:r>
      <w:r>
        <w:rPr>
          <w:sz w:val="24"/>
        </w:rPr>
        <w:t xml:space="preserve">executed and with an effective date of May 12, 2000 </w:t>
      </w:r>
      <w:r>
        <w:rPr>
          <w:color w:val="000000"/>
          <w:sz w:val="24"/>
        </w:rPr>
        <w:t xml:space="preserve">entered into among </w:t>
      </w:r>
      <w:r>
        <w:rPr>
          <w:sz w:val="24"/>
        </w:rPr>
        <w:t xml:space="preserve">E-Next Generation LLC (as assignee of Westdeutsche Landesbank Girozentrale, New York Branch), Enron North America Corp. and GE Packaged Power, Inc. relating to the </w:t>
      </w:r>
      <w:r>
        <w:rPr>
          <w:color w:val="000000"/>
          <w:sz w:val="24"/>
        </w:rPr>
        <w:t xml:space="preserve">three (3) LM6000 Enhanced SPRINT Dual-fuel Combustion Turbine Generator Sets, identified by serial numbers 310889/19, 310890/20, and 309994/23, and </w:t>
      </w:r>
      <w:r>
        <w:rPr>
          <w:sz w:val="24"/>
        </w:rPr>
        <w:t xml:space="preserve">all rights, interest, title and obligations as </w:t>
      </w:r>
      <w:r>
        <w:rPr>
          <w:color w:val="000000"/>
          <w:sz w:val="24"/>
        </w:rPr>
        <w:t xml:space="preserve">contained in that certain </w:t>
      </w:r>
      <w:r>
        <w:rPr>
          <w:sz w:val="24"/>
        </w:rPr>
        <w:t xml:space="preserve">First Amended and Restated Agreement in Principle for </w:t>
      </w:r>
      <w:r>
        <w:rPr>
          <w:color w:val="000000"/>
          <w:sz w:val="24"/>
        </w:rPr>
        <w:t>Turbine Purchase Agreement</w:t>
      </w:r>
      <w:r>
        <w:rPr>
          <w:sz w:val="24"/>
        </w:rPr>
        <w:t xml:space="preserve"> executed and with an effective date of April 3, 2001 </w:t>
      </w:r>
      <w:r>
        <w:rPr>
          <w:color w:val="000000"/>
          <w:sz w:val="24"/>
        </w:rPr>
        <w:t xml:space="preserve">entered into among </w:t>
      </w:r>
      <w:r>
        <w:rPr>
          <w:sz w:val="24"/>
        </w:rPr>
        <w:t>E-Next Generation LLC, acting through its agent Enron North America Corp., and GE Packaged Power, Inc.</w:t>
      </w:r>
      <w:r>
        <w:rPr>
          <w:color w:val="000000"/>
          <w:sz w:val="24"/>
        </w:rPr>
        <w:t xml:space="preserve"> </w:t>
      </w:r>
      <w:r>
        <w:rPr>
          <w:sz w:val="24"/>
        </w:rPr>
        <w:t xml:space="preserve">relating to the one (1) </w:t>
      </w:r>
      <w:r>
        <w:rPr>
          <w:color w:val="000000"/>
          <w:sz w:val="24"/>
        </w:rPr>
        <w:t>LM6000 Enhanced SPRINT Dual-fuel Combustion Turbine Generator Set, identified as Unit 28.</w:t>
      </w:r>
      <w:r>
        <w:rPr>
          <w:sz w:val="24"/>
        </w:rPr>
        <w:t xml:space="preserve"> </w:t>
      </w:r>
    </w:p>
    <w:p>
      <w:pPr>
        <w:pStyle w:val="Normal"/>
        <w:ind w:start="360" w:end="0"/>
        <w:rPr>
          <w:sz w:val="24"/>
        </w:rPr>
      </w:pPr>
      <w:r>
        <w:rPr>
          <w:sz w:val="24"/>
        </w:rPr>
      </w:r>
    </w:p>
    <w:sectPr>
      <w:type w:val="nextPage"/>
      <w:pgSz w:w="12240" w:h="15840"/>
      <w:pgMar w:left="1440" w:right="1440" w:gutter="0" w:header="0" w:top="1440"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ddress">
    <w:name w:val="Address"/>
    <w:basedOn w:val="Normal"/>
    <w:qForma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2001-04-19T20:51:00Z</dcterms:created>
  <dc:creator>Catherine Clark</dc:creator>
  <dc:description/>
  <dc:language>en-CA</dc:language>
  <cp:lastModifiedBy>csole</cp:lastModifiedBy>
  <cp:lastPrinted>2001-04-18T10:59:00Z</cp:lastPrinted>
  <dcterms:modified xsi:type="dcterms:W3CDTF">2001-04-19T20:51:00Z</dcterms:modified>
  <cp:revision>2</cp:revision>
  <dc:subject/>
  <dc:title>January  , 2001</dc:title>
</cp:coreProperties>
</file>