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State of California</w:t>
      </w:r>
    </w:p>
    <w:p>
      <w:pPr>
        <w:pStyle w:val="Heading"/>
        <w:rPr/>
      </w:pPr>
      <w:r>
        <w:rPr/>
        <w:t xml:space="preserve">Energy Resources Conservation </w:t>
      </w:r>
    </w:p>
    <w:p>
      <w:pPr>
        <w:pStyle w:val="Heading"/>
        <w:rPr/>
      </w:pPr>
      <w:r>
        <w:rPr/>
        <w:t>And Development Commission</w:t>
      </w:r>
    </w:p>
    <w:p>
      <w:pPr>
        <w:pStyle w:val="Heading"/>
        <w:rPr/>
      </w:pPr>
      <w:r>
        <w:rPr/>
      </w:r>
    </w:p>
    <w:p>
      <w:pPr>
        <w:pStyle w:val="Heading"/>
        <w:jc w:val="start"/>
        <w:rPr/>
      </w:pPr>
      <w:r>
        <w:rPr/>
        <w:t>Implementation of Restructuring</w:t>
        <w:tab/>
        <w:t>)</w:t>
        <w:tab/>
        <w:t>Docket No. 98-REN-CCS</w:t>
      </w:r>
    </w:p>
    <w:p>
      <w:pPr>
        <w:pStyle w:val="Heading"/>
        <w:jc w:val="start"/>
        <w:rPr/>
      </w:pPr>
      <w:r>
        <w:rPr/>
        <w:t>Legislation (Public Utilities Code</w:t>
        <w:tab/>
        <w:t>)</w:t>
        <w:tab/>
        <w:t>Notice of Committee Workshop</w:t>
      </w:r>
    </w:p>
    <w:p>
      <w:pPr>
        <w:pStyle w:val="Heading"/>
        <w:jc w:val="start"/>
        <w:rPr/>
      </w:pPr>
      <w:r>
        <w:rPr/>
        <w:t>Sections 381, 383.5, and 445</w:t>
        <w:tab/>
        <w:tab/>
        <w:t>)</w:t>
        <w:tab/>
        <w:t>RE: Review of Customer Credit</w:t>
      </w:r>
    </w:p>
    <w:p>
      <w:pPr>
        <w:pStyle w:val="Heading"/>
        <w:jc w:val="start"/>
        <w:rPr/>
      </w:pPr>
      <w:r>
        <w:rPr/>
        <w:t>[AB 1890, SB 90]): Renewables</w:t>
        <w:tab/>
        <w:t>)</w:t>
        <w:tab/>
        <w:t>Subaccount Guidebook</w:t>
      </w:r>
    </w:p>
    <w:p>
      <w:pPr>
        <w:pStyle w:val="Heading"/>
        <w:jc w:val="start"/>
        <w:rPr/>
      </w:pPr>
      <w:r>
        <w:rPr/>
      </w:r>
    </w:p>
    <w:p>
      <w:pPr>
        <w:pStyle w:val="Heading"/>
        <w:jc w:val="start"/>
        <w:rPr/>
      </w:pPr>
      <w:r>
        <w:rPr/>
      </w:r>
    </w:p>
    <w:p>
      <w:pPr>
        <w:pStyle w:val="Heading"/>
        <w:jc w:val="start"/>
        <w:rPr/>
      </w:pPr>
      <w:r>
        <w:rPr/>
      </w:r>
    </w:p>
    <w:p>
      <w:pPr>
        <w:pStyle w:val="Normal"/>
        <w:jc w:val="center"/>
        <w:rPr>
          <w:b/>
          <w:sz w:val="24"/>
        </w:rPr>
      </w:pPr>
      <w:r>
        <w:rPr>
          <w:b/>
          <w:sz w:val="24"/>
        </w:rPr>
        <w:t>COMMENTS ON NOTICE OF COMMITTEE WORKSHOP RE: REVIEW OF CUSTOMER CREDIT SUBACCOUNT GUIDEBOOK</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Submitted By</w:t>
      </w:r>
    </w:p>
    <w:p>
      <w:pPr>
        <w:pStyle w:val="Normal"/>
        <w:jc w:val="center"/>
        <w:rPr>
          <w:b/>
          <w:sz w:val="24"/>
        </w:rPr>
      </w:pPr>
      <w:r>
        <w:rPr>
          <w:b/>
          <w:sz w:val="24"/>
        </w:rPr>
      </w:r>
    </w:p>
    <w:p>
      <w:pPr>
        <w:pStyle w:val="Normal"/>
        <w:jc w:val="center"/>
        <w:rPr/>
      </w:pPr>
      <w:r>
        <w:rPr>
          <w:b/>
          <w:sz w:val="24"/>
        </w:rPr>
        <w:t>ABAG Energy</w:t>
      </w:r>
      <w:r>
        <w:rPr>
          <w:rStyle w:val="FootnoteCharacters"/>
          <w:rStyle w:val="FootnoteReference"/>
          <w:b/>
          <w:sz w:val="24"/>
        </w:rPr>
        <w:footnoteReference w:id="2"/>
      </w:r>
      <w:r>
        <w:rPr>
          <w:b/>
          <w:sz w:val="24"/>
        </w:rPr>
        <w:t xml:space="preserve"> </w:t>
      </w:r>
    </w:p>
    <w:p>
      <w:pPr>
        <w:pStyle w:val="Normal"/>
        <w:jc w:val="center"/>
        <w:rPr>
          <w:b/>
          <w:sz w:val="24"/>
        </w:rPr>
      </w:pPr>
      <w:r>
        <w:rPr>
          <w:b/>
          <w:sz w:val="24"/>
        </w:rPr>
        <w:t>Commonwealth Energy</w:t>
      </w:r>
    </w:p>
    <w:p>
      <w:pPr>
        <w:pStyle w:val="Normal"/>
        <w:jc w:val="center"/>
        <w:rPr>
          <w:b/>
          <w:sz w:val="24"/>
        </w:rPr>
      </w:pPr>
      <w:r>
        <w:rPr>
          <w:b/>
          <w:sz w:val="24"/>
        </w:rPr>
        <w:t>Dynegy</w:t>
      </w:r>
    </w:p>
    <w:p>
      <w:pPr>
        <w:pStyle w:val="Normal"/>
        <w:jc w:val="center"/>
        <w:rPr>
          <w:b/>
          <w:sz w:val="24"/>
        </w:rPr>
      </w:pPr>
      <w:r>
        <w:rPr>
          <w:b/>
          <w:sz w:val="24"/>
        </w:rPr>
        <w:t>Enron Corp.</w:t>
      </w:r>
    </w:p>
    <w:p>
      <w:pPr>
        <w:pStyle w:val="Normal"/>
        <w:jc w:val="center"/>
        <w:rPr>
          <w:b/>
          <w:sz w:val="24"/>
        </w:rPr>
      </w:pPr>
      <w:r>
        <w:rPr>
          <w:b/>
          <w:sz w:val="24"/>
        </w:rPr>
        <w:t>GreenMountain.com</w:t>
      </w:r>
    </w:p>
    <w:p>
      <w:pPr>
        <w:pStyle w:val="Normal"/>
        <w:jc w:val="center"/>
        <w:rPr>
          <w:b/>
          <w:sz w:val="24"/>
        </w:rPr>
      </w:pPr>
      <w:r>
        <w:rPr>
          <w:b/>
          <w:sz w:val="24"/>
        </w:rPr>
        <w:t>New Energy, Inc.</w:t>
      </w:r>
    </w:p>
    <w:p>
      <w:pPr>
        <w:pStyle w:val="Normal"/>
        <w:jc w:val="center"/>
        <w:rPr>
          <w:b/>
          <w:sz w:val="24"/>
        </w:rPr>
      </w:pPr>
      <w:r>
        <w:rPr>
          <w:b/>
          <w:sz w:val="24"/>
        </w:rPr>
        <w:t>PacifiCorp</w:t>
      </w:r>
    </w:p>
    <w:p>
      <w:pPr>
        <w:pStyle w:val="Normal"/>
        <w:jc w:val="center"/>
        <w:rPr>
          <w:b/>
          <w:sz w:val="24"/>
        </w:rPr>
      </w:pPr>
      <w:r>
        <w:rPr>
          <w:b/>
          <w:sz w:val="24"/>
        </w:rPr>
        <w:t>PG&amp;E Energy Services</w:t>
      </w:r>
    </w:p>
    <w:p>
      <w:pPr>
        <w:pStyle w:val="Normal"/>
        <w:jc w:val="center"/>
        <w:rPr>
          <w:b/>
          <w:sz w:val="24"/>
        </w:rPr>
      </w:pPr>
      <w:r>
        <w:rPr>
          <w:b/>
          <w:sz w:val="24"/>
        </w:rPr>
        <w:t>Utility.com</w:t>
      </w:r>
      <w:r>
        <w:br w:type="page"/>
      </w:r>
    </w:p>
    <w:p>
      <w:pPr>
        <w:pStyle w:val="Normal"/>
        <w:jc w:val="center"/>
        <w:rPr>
          <w:b/>
          <w:sz w:val="24"/>
        </w:rPr>
      </w:pPr>
      <w:r>
        <w:rPr>
          <w:b/>
          <w:sz w:val="24"/>
        </w:rPr>
      </w:r>
    </w:p>
    <w:p>
      <w:pPr>
        <w:pStyle w:val="Heading1"/>
        <w:ind w:hanging="0" w:start="0"/>
        <w:rPr/>
      </w:pPr>
      <w:r>
        <w:rPr/>
        <w:t>Introduction</w:t>
      </w:r>
    </w:p>
    <w:p>
      <w:pPr>
        <w:pStyle w:val="Normal"/>
        <w:rPr>
          <w:b/>
          <w:sz w:val="24"/>
        </w:rPr>
      </w:pPr>
      <w:r>
        <w:rPr>
          <w:b/>
          <w:sz w:val="24"/>
        </w:rPr>
      </w:r>
    </w:p>
    <w:p>
      <w:pPr>
        <w:pStyle w:val="Normal"/>
        <w:rPr>
          <w:sz w:val="24"/>
        </w:rPr>
      </w:pPr>
      <w:r>
        <w:rPr>
          <w:sz w:val="24"/>
        </w:rPr>
        <w:t xml:space="preserve">ABAG Energy, Commonwealth Energy, Dynegy, Enron Corp., GreenMountain.com, New Energy, Inc., PacifiCorp, PG&amp;E Energy Services, and Utility.com, hereafter referred to as “Parties”, commend the Energy Commission for the success of the Customer Credit Subaccount (CCS) program.  California consumers are taking advantage of this program, thereby building demand for renewable energy.  The mechanisms put in place by the Commission at the beginning of the program have worked well.  For example, setting the credits at 1.5 cents per kWh and then reviewing the level every six months has spurred demand and provided market participants sufficient time to plan their product offerings.   The staff review of the program that identified the problem of consumer demand beginning to outstrip available funds is another example of the successful structure of the program.  The discovery was made well in advance of the need to take drastic action.  The staff is to be commended for the timely identification of this issue.  </w:t>
      </w:r>
    </w:p>
    <w:p>
      <w:pPr>
        <w:pStyle w:val="Normal"/>
        <w:rPr>
          <w:sz w:val="24"/>
        </w:rPr>
      </w:pPr>
      <w:r>
        <w:rPr>
          <w:sz w:val="24"/>
        </w:rPr>
      </w:r>
    </w:p>
    <w:p>
      <w:pPr>
        <w:pStyle w:val="Normal"/>
        <w:rPr>
          <w:sz w:val="24"/>
        </w:rPr>
      </w:pPr>
      <w:r>
        <w:rPr>
          <w:sz w:val="24"/>
        </w:rPr>
        <w:t>The bad news related to the CCS is the flip side of the program’s success.  So many consumers are taking advantage of this program that the size of the credit will have to be reduced in order to stay within the budget of the CCS.</w:t>
      </w:r>
    </w:p>
    <w:p>
      <w:pPr>
        <w:pStyle w:val="Normal"/>
        <w:rPr>
          <w:sz w:val="24"/>
        </w:rPr>
      </w:pPr>
      <w:r>
        <w:rPr>
          <w:sz w:val="24"/>
        </w:rPr>
      </w:r>
    </w:p>
    <w:p>
      <w:pPr>
        <w:pStyle w:val="Normal"/>
        <w:rPr>
          <w:sz w:val="24"/>
        </w:rPr>
      </w:pPr>
      <w:r>
        <w:rPr>
          <w:sz w:val="24"/>
        </w:rPr>
        <w:t>In making recommendations on how to address the reduction in credit size, the Parties are guided by three principals.  The first principle is that the program has been successful and is not in need of a general overhaul at this time.  The second principle flows from the first: make only those changes necessary to stay within budget.  Finally, the program should strive to give both program participants and consumers as much certainty as possible, given funding constraints.  The specific recommendations below are guided by these principles.</w:t>
      </w:r>
    </w:p>
    <w:p>
      <w:pPr>
        <w:pStyle w:val="Normal"/>
        <w:rPr>
          <w:sz w:val="24"/>
        </w:rPr>
      </w:pPr>
      <w:r>
        <w:rPr>
          <w:sz w:val="24"/>
        </w:rPr>
      </w:r>
    </w:p>
    <w:p>
      <w:pPr>
        <w:pStyle w:val="Heading1"/>
        <w:numPr>
          <w:ilvl w:val="0"/>
          <w:numId w:val="4"/>
        </w:numPr>
        <w:rPr/>
      </w:pPr>
      <w:r>
        <w:rPr/>
        <w:t>How to Set the Credit Level</w:t>
      </w:r>
    </w:p>
    <w:p>
      <w:pPr>
        <w:pStyle w:val="Normal"/>
        <w:rPr>
          <w:b/>
          <w:sz w:val="24"/>
        </w:rPr>
      </w:pPr>
      <w:r>
        <w:rPr>
          <w:b/>
          <w:sz w:val="24"/>
        </w:rPr>
      </w:r>
    </w:p>
    <w:p>
      <w:pPr>
        <w:pStyle w:val="BodyText"/>
        <w:rPr/>
      </w:pPr>
      <w:r>
        <w:rPr/>
        <w:t>There are three issues to be decided when setting the credit level: how frequently to examine it, when to start it, and at what level to set it.</w:t>
      </w:r>
    </w:p>
    <w:p>
      <w:pPr>
        <w:pStyle w:val="Normal"/>
        <w:rPr>
          <w:sz w:val="24"/>
        </w:rPr>
      </w:pPr>
      <w:r>
        <w:rPr>
          <w:sz w:val="24"/>
        </w:rPr>
      </w:r>
    </w:p>
    <w:p>
      <w:pPr>
        <w:pStyle w:val="Heading2"/>
        <w:numPr>
          <w:ilvl w:val="0"/>
          <w:numId w:val="2"/>
        </w:numPr>
        <w:rPr/>
      </w:pPr>
      <w:r>
        <w:rPr/>
        <w:t>How Frequently the Credit Level Should Change</w:t>
      </w:r>
    </w:p>
    <w:p>
      <w:pPr>
        <w:pStyle w:val="Normal"/>
        <w:rPr/>
      </w:pPr>
      <w:r>
        <w:rPr/>
      </w:r>
    </w:p>
    <w:p>
      <w:pPr>
        <w:pStyle w:val="BodyText"/>
        <w:rPr/>
      </w:pPr>
      <w:r>
        <w:rPr/>
        <w:t>The staff has proposed that the credit be changed every month based on demand each month on the CCS.  This provides the maximum flexibility for the Commission to adjust to changing market conditions but provides no certainty at all to market participants and consumers.  Under the staff proposal, ESPs and customers would only find out after the fact what the credit level will be.  This complicates product design and pricing for ESPs,  and significantly limits consumers’ abilities to make informed purchasing decisions.  Such uncertainty will be detrimental to the development of the green market.</w:t>
      </w:r>
    </w:p>
    <w:p>
      <w:pPr>
        <w:pStyle w:val="BodyText"/>
        <w:rPr/>
      </w:pPr>
      <w:r>
        <w:rPr/>
      </w:r>
    </w:p>
    <w:p>
      <w:pPr>
        <w:pStyle w:val="BodyText"/>
        <w:rPr/>
      </w:pPr>
      <w:r>
        <w:rPr/>
        <w:t xml:space="preserve">Instead, the Parties propose that the Commission  follow the precedent set by the current CCS Guidebook.  While the Guidebook does not explicitly state that the credit adjustment should occur </w:t>
      </w:r>
      <w:r>
        <w:rPr>
          <w:i/>
        </w:rPr>
        <w:t xml:space="preserve">every </w:t>
      </w:r>
      <w:r>
        <w:rPr/>
        <w:t>six months, it was the time frame used for the first year of the CCS (Guidebook, p. 11) and many market participants expected that it would continue to be the time frame for future changes.  Moreover, a six month review balances both the needs of the market and the needs of the Commission.</w:t>
      </w:r>
    </w:p>
    <w:p>
      <w:pPr>
        <w:pStyle w:val="BodyText"/>
        <w:rPr/>
      </w:pPr>
      <w:r>
        <w:rPr/>
      </w:r>
    </w:p>
    <w:p>
      <w:pPr>
        <w:pStyle w:val="BodyText"/>
        <w:rPr/>
      </w:pPr>
      <w:r>
        <w:rPr/>
        <w:t>Six months provides sufficient time for ESPs to adjust pricing or supply and to notify customers of the changes.  Six months also allows customers to receive any notifications and make informed purchasing decisions.  Finally, six months is sufficient time for the staff to observe market trends and make mid-year corrections in the credit level.  This last point is critical; a sudden increase or decrease in one month does not indicate a trend and may cause unnecessary volatility within the program.</w:t>
      </w:r>
    </w:p>
    <w:p>
      <w:pPr>
        <w:pStyle w:val="BodyText"/>
        <w:rPr/>
      </w:pPr>
      <w:r>
        <w:rPr/>
      </w:r>
    </w:p>
    <w:p>
      <w:pPr>
        <w:pStyle w:val="BodyText"/>
        <w:rPr/>
      </w:pPr>
      <w:r>
        <w:rPr/>
        <w:t>Fixing the size of the credit for a period of one year would provide even more certainty for ESPs and their customers, however there are two drawbacks to this approach.  The first is that it provides less correction ability for the Commission in the event that market trends are different from those anticipated in the staff analysis.  The second problem arises from the first.  If the Commission is setting the level for an entire year, without the possibility for a mid-year correction, the chances are that the Commission will set a conservatively low credit to guard against the possibility of  running out of funds.</w:t>
      </w:r>
    </w:p>
    <w:p>
      <w:pPr>
        <w:pStyle w:val="BodyText"/>
        <w:rPr/>
      </w:pPr>
      <w:r>
        <w:rPr/>
      </w:r>
    </w:p>
    <w:p>
      <w:pPr>
        <w:pStyle w:val="BodyText"/>
        <w:rPr/>
      </w:pPr>
      <w:r>
        <w:rPr/>
        <w:t xml:space="preserve">In all, a six month period strikes a good balance between certainty for the market and flexibility for the Commission. </w:t>
      </w:r>
    </w:p>
    <w:p>
      <w:pPr>
        <w:pStyle w:val="BodyText"/>
        <w:rPr>
          <w:u w:val="single"/>
        </w:rPr>
      </w:pPr>
      <w:r>
        <w:rPr>
          <w:u w:val="single"/>
        </w:rPr>
      </w:r>
    </w:p>
    <w:p>
      <w:pPr>
        <w:pStyle w:val="BodyText"/>
        <w:numPr>
          <w:ilvl w:val="0"/>
          <w:numId w:val="2"/>
        </w:numPr>
        <w:rPr>
          <w:u w:val="single"/>
        </w:rPr>
      </w:pPr>
      <w:r>
        <w:rPr>
          <w:u w:val="single"/>
        </w:rPr>
        <w:t>When to Start the Adjustment</w:t>
      </w:r>
    </w:p>
    <w:p>
      <w:pPr>
        <w:pStyle w:val="BodyText"/>
        <w:rPr>
          <w:u w:val="single"/>
        </w:rPr>
      </w:pPr>
      <w:r>
        <w:rPr>
          <w:u w:val="single"/>
        </w:rPr>
      </w:r>
    </w:p>
    <w:p>
      <w:pPr>
        <w:pStyle w:val="BodyText"/>
        <w:rPr/>
      </w:pPr>
      <w:r>
        <w:rPr/>
        <w:t>The Parties recommend that the credit be changed starting in December 1999 and that the Commission recalibrate the credit in April 2000 for implementation in July of 2000. This will provide the market two months to plan for the new level and is consistent with quarterly wholesale contract conventions.  Future changes to the credit level would be considered in October 2000 for implementation in January 2001 and again in April 2001 for implementation in July 2001.</w:t>
      </w:r>
    </w:p>
    <w:p>
      <w:pPr>
        <w:pStyle w:val="BodyText"/>
        <w:rPr/>
      </w:pPr>
      <w:r>
        <w:rPr/>
      </w:r>
    </w:p>
    <w:p>
      <w:pPr>
        <w:pStyle w:val="BodyText"/>
        <w:rPr/>
      </w:pPr>
      <w:r>
        <w:rPr/>
        <w:t xml:space="preserve"> </w:t>
      </w:r>
      <w:r>
        <w:rPr/>
        <w:t>The main reason for suggesting that the first interval start in December is that will guarantee that the $1000 cap per year for large customers is retained.  The $1000 cap was originally put in place so that a few large customers could not claim a disproportionate share of the available customer credits. The cap was intended to prevent the of draining funds that otherwise could have gone to residential and small commercial customers.  Thus far, the cap has worked well.  The majority of the funds have gone to residential and small commercial customers.  However, the number of participating large customers appears to have increased significantly in recent months. Additionally, several larger customers have announced deals that probably have not yet shown up in the program.</w:t>
      </w:r>
    </w:p>
    <w:p>
      <w:pPr>
        <w:pStyle w:val="BodyText"/>
        <w:rPr/>
      </w:pPr>
      <w:r>
        <w:rPr/>
      </w:r>
    </w:p>
    <w:p>
      <w:pPr>
        <w:pStyle w:val="BodyText"/>
        <w:rPr/>
      </w:pPr>
      <w:r>
        <w:rPr/>
        <w:t>There is a significant danger to residential and small commercial customers if the cap is lifted, even though there is an overall $15 million cap on the total amount that can go to large customers.  The danger is the following: if the cap were lifted in January  the large customers enrolled in the program could create a tremendous run on the CCS in the first six months of 2000.  The worst case would be that they used up their cumulative $15 million in the first six months.  The entire allocation of funds to the program in 2000 is $21.6 million.  Such a large run on the funds by the large class could cause the Commission to drop the credit to extremely low levels to stay within budget for the remainder of the year, thereby significantly reducing the benefit to residential and small commercial customers.  At this point, the larger customers would no longer be eligible for the program at all.  In the year 2001, the Commission might then raise the credit level much higher, perhaps all the way back to 1.5 cents per kwh.   Despite the resulting higher credit for residential customers in 2001, the credibility and momentum of the program would be severely damaged.</w:t>
      </w:r>
    </w:p>
    <w:p>
      <w:pPr>
        <w:pStyle w:val="BodyText"/>
        <w:rPr/>
      </w:pPr>
      <w:r>
        <w:rPr/>
      </w:r>
    </w:p>
    <w:p>
      <w:pPr>
        <w:pStyle w:val="BodyText"/>
        <w:rPr/>
      </w:pPr>
      <w:r>
        <w:rPr/>
        <w:t>In the Parties’ view, the option to lift the cap was created in the first place to deal with the possibility that the program would be woefully undersubscribed.  The program is, instead, oversubscribed and therefore the protection the cap provides to residential and small commercial customers should be maintained by reducing the CCS below 1.5 cents per kwh before the end of 1999.</w:t>
      </w:r>
    </w:p>
    <w:p>
      <w:pPr>
        <w:pStyle w:val="BodyText"/>
        <w:rPr>
          <w:u w:val="single"/>
        </w:rPr>
      </w:pPr>
      <w:r>
        <w:rPr>
          <w:u w:val="single"/>
        </w:rPr>
      </w:r>
    </w:p>
    <w:p>
      <w:pPr>
        <w:pStyle w:val="BodyText"/>
        <w:numPr>
          <w:ilvl w:val="0"/>
          <w:numId w:val="2"/>
        </w:numPr>
        <w:rPr>
          <w:u w:val="single"/>
        </w:rPr>
      </w:pPr>
      <w:r>
        <w:rPr>
          <w:u w:val="single"/>
        </w:rPr>
        <w:t>At What Level Should the Cap be Set?</w:t>
      </w:r>
    </w:p>
    <w:p>
      <w:pPr>
        <w:pStyle w:val="BodyText"/>
        <w:rPr>
          <w:u w:val="single"/>
        </w:rPr>
      </w:pPr>
      <w:r>
        <w:rPr>
          <w:u w:val="single"/>
        </w:rPr>
      </w:r>
    </w:p>
    <w:p>
      <w:pPr>
        <w:pStyle w:val="BodyText"/>
        <w:rPr/>
      </w:pPr>
      <w:r>
        <w:rPr/>
        <w:t>GreenMountain.com, one of the Parties, has done a spreadsheet analysis that indicates that reducing the credit to 1.25 cents per kwh in December 1999 and then re-adjusting down to 1 cent in July of 2000 is likely to match program demand and program funds through the end of 2000.  The overall results of this analysis are generally consistent with the results of staff’s analysis, without the monthly variations in the credit level.  GreenMountain.com shared this analysis with the staff.</w:t>
      </w:r>
    </w:p>
    <w:p>
      <w:pPr>
        <w:pStyle w:val="BodyText"/>
        <w:rPr/>
      </w:pPr>
      <w:r>
        <w:rPr/>
      </w:r>
    </w:p>
    <w:p>
      <w:pPr>
        <w:pStyle w:val="BodyText"/>
        <w:rPr/>
      </w:pPr>
      <w:r>
        <w:rPr/>
        <w:t>The Parties recommend that the Commission reduce the credit to 1.25 cents per kwh for the period of December 1999 through June 2000.  This credit level, combined with the opportunity for the Commission to recalibrate mid-year, strikes a good balance between prudently managing the CCS funds and minimizing disruptions to the still-developing California green retail electric market.</w:t>
      </w:r>
    </w:p>
    <w:p>
      <w:pPr>
        <w:pStyle w:val="BodyText"/>
        <w:rPr/>
      </w:pPr>
      <w:r>
        <w:rPr/>
        <w:t xml:space="preserve"> </w:t>
      </w:r>
    </w:p>
    <w:p>
      <w:pPr>
        <w:pStyle w:val="BodyText"/>
        <w:rPr/>
      </w:pPr>
      <w:r>
        <w:rPr/>
      </w:r>
    </w:p>
    <w:p>
      <w:pPr>
        <w:pStyle w:val="BodyText"/>
        <w:numPr>
          <w:ilvl w:val="0"/>
          <w:numId w:val="4"/>
        </w:numPr>
        <w:rPr>
          <w:b/>
        </w:rPr>
      </w:pPr>
      <w:r>
        <w:rPr>
          <w:b/>
        </w:rPr>
        <w:t>Specific Provisions Related to Monthly Payments</w:t>
      </w:r>
    </w:p>
    <w:p>
      <w:pPr>
        <w:pStyle w:val="BodyText"/>
        <w:rPr>
          <w:b/>
        </w:rPr>
      </w:pPr>
      <w:r>
        <w:rPr>
          <w:b/>
        </w:rPr>
      </w:r>
    </w:p>
    <w:p>
      <w:pPr>
        <w:pStyle w:val="BodyText"/>
        <w:rPr/>
      </w:pPr>
      <w:r>
        <w:rPr/>
        <w:t>The Workshop notice also suggested a number of changes to the procedures for operating within the program and invited public comment on those changes.  One general comment is that many of those changes are not needed if the credit level does not vary monthly.</w:t>
      </w:r>
    </w:p>
    <w:p>
      <w:pPr>
        <w:pStyle w:val="BodyText"/>
        <w:rPr/>
      </w:pPr>
      <w:r>
        <w:rPr/>
      </w:r>
    </w:p>
    <w:p>
      <w:pPr>
        <w:pStyle w:val="BodyText"/>
        <w:numPr>
          <w:ilvl w:val="0"/>
          <w:numId w:val="3"/>
        </w:numPr>
        <w:rPr>
          <w:u w:val="single"/>
        </w:rPr>
      </w:pPr>
      <w:r>
        <w:rPr>
          <w:u w:val="single"/>
        </w:rPr>
        <w:t>Retain the Banking Feature</w:t>
      </w:r>
    </w:p>
    <w:p>
      <w:pPr>
        <w:pStyle w:val="BodyText"/>
        <w:rPr>
          <w:u w:val="single"/>
        </w:rPr>
      </w:pPr>
      <w:r>
        <w:rPr>
          <w:u w:val="single"/>
        </w:rPr>
      </w:r>
    </w:p>
    <w:p>
      <w:pPr>
        <w:pStyle w:val="BodyText"/>
        <w:rPr/>
      </w:pPr>
      <w:r>
        <w:rPr/>
        <w:t>Banking has been an important feature of the CCS since the beginning of the program.  It was incorporated into the program in order to recognize the seasonal nature of many renewable energy technologies and the uncertainty of customer loads.  Hydro flows most in the spring.  Solar and wind produce more in the summer than other seasons.  Certain forms of biomass are only available in certain seasons.  Customer demand is also not uniform and highly dependent on weather variability.  For some customers demand is highest during the summer air conditioning period.  Other customers use more energy in winter for heating.  Due to the complexity of switching customers and the approximately two-month time lag in obtaining meter data, ESPs do not even know how much load they served in a calendar year until late in the first quarter of the subsequent year.  Recognizing this supply and load variability, and to match customer demand with renewable supply, the Guidebook allows ESPs to bank either supply or demand for later payment.  The underlying reasons for banking have not changed.  Thus, the answer to the workshop notice question as to whether banking should be retained is: Yes!   Further, banked generation and load should be allowed to carry over to the following year in the manner currently approved in the Guidebook.  If the Commission stays with a six month recalculation period, and does not switch to the monthly variable credit as proposed by staff, the problems with banking identified by staff will not be created.  Except for the one change described below in Section II. B., no change to the current banking rules is required.</w:t>
      </w:r>
    </w:p>
    <w:p>
      <w:pPr>
        <w:pStyle w:val="BodyText"/>
        <w:rPr>
          <w:u w:val="single"/>
        </w:rPr>
      </w:pPr>
      <w:r>
        <w:rPr>
          <w:u w:val="single"/>
        </w:rPr>
      </w:r>
    </w:p>
    <w:p>
      <w:pPr>
        <w:pStyle w:val="BodyText"/>
        <w:numPr>
          <w:ilvl w:val="0"/>
          <w:numId w:val="3"/>
        </w:numPr>
        <w:rPr>
          <w:u w:val="single"/>
        </w:rPr>
      </w:pPr>
      <w:r>
        <w:rPr>
          <w:u w:val="single"/>
        </w:rPr>
        <w:t>Calculate Value of Banked KWH on Load, Not Supply</w:t>
      </w:r>
    </w:p>
    <w:p>
      <w:pPr>
        <w:pStyle w:val="BodyText"/>
        <w:rPr>
          <w:u w:val="single"/>
        </w:rPr>
      </w:pPr>
      <w:r>
        <w:rPr>
          <w:u w:val="single"/>
        </w:rPr>
      </w:r>
    </w:p>
    <w:p>
      <w:pPr>
        <w:pStyle w:val="BodyText"/>
        <w:rPr/>
      </w:pPr>
      <w:r>
        <w:rPr/>
        <w:t xml:space="preserve">The Parties believe that customer load, not generation, should drive the calculation of the credit paid for banked kwh. The banking procedure proposed by staff allows for the banking of load in any given month, but pays out the credit for that banked load at the credit level in place at the time the corresponding generation is filed with the CEC.  For example, a customer’s load for January may be filed in the monthly performance report for January, but the resources to serve that load may be windpower which will not be available until June.  If the credit level in January were 1.5 cents/kWh, and the credit in June were 1.2 cents, the payout of the credit for that January load would only be 1.2 cents, since the wind generation corresponding to the load was not produced until June.  </w:t>
      </w:r>
    </w:p>
    <w:p>
      <w:pPr>
        <w:pStyle w:val="BodyText"/>
        <w:rPr/>
      </w:pPr>
      <w:r>
        <w:rPr/>
      </w:r>
    </w:p>
    <w:p>
      <w:pPr>
        <w:pStyle w:val="BodyText"/>
        <w:rPr/>
      </w:pPr>
      <w:r>
        <w:rPr/>
        <w:t>The Parties propose that customer load, not generation, should be banked forward at the credit level in place during the performance period.   For example, January customer load would be banked forward as a total dollar amount – customer kilowatt-hours multiplied by the credit level in place in January.  Excess generation in January would be banked forward in total kilowatt-hours, and credits would be paid out at the credit level in place for the month when the customer load was actually served.  This approach, in a period of declining credit levels, ensures the customer will receive the level of credits in place when their load was served.</w:t>
      </w:r>
    </w:p>
    <w:p>
      <w:pPr>
        <w:pStyle w:val="BodyText"/>
        <w:rPr/>
      </w:pPr>
      <w:r>
        <w:rPr/>
      </w:r>
    </w:p>
    <w:p>
      <w:pPr>
        <w:pStyle w:val="BodyText"/>
        <w:numPr>
          <w:ilvl w:val="0"/>
          <w:numId w:val="3"/>
        </w:numPr>
        <w:rPr>
          <w:u w:val="single"/>
        </w:rPr>
      </w:pPr>
      <w:r>
        <w:rPr>
          <w:u w:val="single"/>
        </w:rPr>
        <w:t>Shorten Reporting Time from 180 Days to 90 Days</w:t>
      </w:r>
    </w:p>
    <w:p>
      <w:pPr>
        <w:pStyle w:val="BodyText"/>
        <w:rPr>
          <w:u w:val="single"/>
        </w:rPr>
      </w:pPr>
      <w:r>
        <w:rPr>
          <w:u w:val="single"/>
        </w:rPr>
      </w:r>
    </w:p>
    <w:p>
      <w:pPr>
        <w:pStyle w:val="BodyText"/>
        <w:rPr/>
      </w:pPr>
      <w:r>
        <w:rPr/>
        <w:t>As part of the workshop notice, staff had proposed that ESPs would be required to report supply or demand within 40 days of the close of a month.  This proposal was partly in response to the staff proposal to set a variable monthly credit.</w:t>
      </w:r>
    </w:p>
    <w:p>
      <w:pPr>
        <w:pStyle w:val="BodyText"/>
        <w:rPr/>
      </w:pPr>
      <w:r>
        <w:rPr/>
      </w:r>
    </w:p>
    <w:p>
      <w:pPr>
        <w:pStyle w:val="BodyText"/>
        <w:rPr/>
      </w:pPr>
      <w:r>
        <w:rPr/>
        <w:t>The Parties recognize that the current 180 day reporting period is longer than it has to be and that staff estimates of funding levels will be more accurate, if that period is shortened.  However, the 40 day reporting period proposed by staff is too short and is not necessary if the Commission adopts the Parties’ proposal for six month adjustments.  Actual load data from the ISO is not available for approximately 60 days.  Giving ESPs thirty additional days to verify the data and submit it to the Commission in the form of Monthly Performance Reports will have two benefits.  First, it will improve the accuracy of the data received by the Commission by allowing for full ISO data and ESP review.  This should result in fewer adjustments later on.  Second, it will reduce by half the time within which ESPs must report, compared to the current program and therefore should improve the freshness of the data for staff purposes.  Program participants will still have an economic incentive to submit reports earlier to accelerate receipt of the CCS funds.</w:t>
      </w:r>
    </w:p>
    <w:p>
      <w:pPr>
        <w:pStyle w:val="BodyText"/>
        <w:rPr>
          <w:u w:val="single"/>
        </w:rPr>
      </w:pPr>
      <w:r>
        <w:rPr>
          <w:u w:val="single"/>
        </w:rPr>
      </w:r>
    </w:p>
    <w:p>
      <w:pPr>
        <w:pStyle w:val="BodyText"/>
        <w:numPr>
          <w:ilvl w:val="0"/>
          <w:numId w:val="3"/>
        </w:numPr>
        <w:rPr>
          <w:u w:val="single"/>
        </w:rPr>
      </w:pPr>
      <w:r>
        <w:rPr>
          <w:u w:val="single"/>
        </w:rPr>
        <w:t>Submitting Revisions to Monthly Performance Reports</w:t>
      </w:r>
    </w:p>
    <w:p>
      <w:pPr>
        <w:pStyle w:val="BodyText"/>
        <w:rPr>
          <w:u w:val="single"/>
        </w:rPr>
      </w:pPr>
      <w:r>
        <w:rPr>
          <w:u w:val="single"/>
        </w:rPr>
      </w:r>
    </w:p>
    <w:p>
      <w:pPr>
        <w:pStyle w:val="BodyText"/>
        <w:rPr/>
      </w:pPr>
      <w:r>
        <w:rPr/>
        <w:t xml:space="preserve">In the workshop notice, staff reported that it had been informally accepting revised MPRs to allow for corrections and proposed to formalize that process.  The Parties agree with the staff proposal and make the following additional suggestion.  The Commission should create a separate MPR Amendment form.  This form should reference the month the amendment was being requested for and then report on </w:t>
      </w:r>
      <w:r>
        <w:rPr>
          <w:i/>
        </w:rPr>
        <w:t>changes</w:t>
      </w:r>
      <w:r>
        <w:rPr/>
        <w:t xml:space="preserve"> to that month rather than revising the entire original MPR.   </w:t>
      </w:r>
    </w:p>
    <w:p>
      <w:pPr>
        <w:pStyle w:val="BodyText"/>
        <w:rPr/>
      </w:pPr>
      <w:r>
        <w:rPr/>
      </w:r>
    </w:p>
    <w:p>
      <w:pPr>
        <w:pStyle w:val="BodyText"/>
        <w:numPr>
          <w:ilvl w:val="0"/>
          <w:numId w:val="3"/>
        </w:numPr>
        <w:rPr>
          <w:u w:val="single"/>
        </w:rPr>
      </w:pPr>
      <w:r>
        <w:rPr>
          <w:u w:val="single"/>
        </w:rPr>
        <w:t>Approve Staff Proposal for Implementing $15 Million Cap for Large Customers</w:t>
      </w:r>
    </w:p>
    <w:p>
      <w:pPr>
        <w:pStyle w:val="BodyText"/>
        <w:rPr>
          <w:u w:val="single"/>
        </w:rPr>
      </w:pPr>
      <w:r>
        <w:rPr>
          <w:u w:val="single"/>
        </w:rPr>
      </w:r>
    </w:p>
    <w:p>
      <w:pPr>
        <w:pStyle w:val="BodyText"/>
        <w:rPr/>
      </w:pPr>
      <w:r>
        <w:rPr/>
        <w:t>The Parties agree with and support the staff proposal on implementing the $15 million cap for large customers.</w:t>
      </w:r>
    </w:p>
    <w:p>
      <w:pPr>
        <w:pStyle w:val="BodyText"/>
        <w:rPr/>
      </w:pPr>
      <w:r>
        <w:rPr/>
      </w:r>
    </w:p>
    <w:p>
      <w:pPr>
        <w:pStyle w:val="BodyText"/>
        <w:numPr>
          <w:ilvl w:val="0"/>
          <w:numId w:val="4"/>
        </w:numPr>
        <w:rPr>
          <w:b/>
        </w:rPr>
      </w:pPr>
      <w:r>
        <w:rPr>
          <w:b/>
        </w:rPr>
        <w:t>Definition of Customer</w:t>
      </w:r>
    </w:p>
    <w:p>
      <w:pPr>
        <w:pStyle w:val="BodyText"/>
        <w:rPr>
          <w:b/>
        </w:rPr>
      </w:pPr>
      <w:r>
        <w:rPr>
          <w:b/>
        </w:rPr>
      </w:r>
    </w:p>
    <w:p>
      <w:pPr>
        <w:pStyle w:val="BodyText"/>
        <w:rPr/>
      </w:pPr>
      <w:r>
        <w:rPr/>
        <w:t>The Parties oppose classifying individual streetlights as a “customer”.</w:t>
      </w:r>
      <w:r>
        <w:rPr>
          <w:rStyle w:val="FootnoteCharacters"/>
          <w:rStyle w:val="FootnoteReference"/>
        </w:rPr>
        <w:footnoteReference w:id="3"/>
      </w:r>
      <w:r>
        <w:rPr/>
        <w:t xml:space="preserve">  If the Commission would classify streetlights as an individual customer, then each streetlight would be subject to the $1000 per year cap on customer credits, instead of having the local jurisdiction being subject to a $1000 cap for all street lights.</w:t>
      </w:r>
    </w:p>
    <w:p>
      <w:pPr>
        <w:pStyle w:val="BodyText"/>
        <w:rPr/>
      </w:pPr>
      <w:r>
        <w:rPr/>
      </w:r>
    </w:p>
    <w:p>
      <w:pPr>
        <w:pStyle w:val="BodyText"/>
        <w:rPr/>
      </w:pPr>
      <w:r>
        <w:rPr/>
        <w:t>It is true that most streetlights are unmetered, but it is also true that their usage can be relatively easily calculated based on their wattage and assuming an average of 12 hours of use per day, 365 days per year.  However, whether the lights are metered or not is a side issue.  The key question is what is the appropriate level of aggregation of street lights vis a vis the $1000 cap.</w:t>
      </w:r>
    </w:p>
    <w:p>
      <w:pPr>
        <w:pStyle w:val="BodyText"/>
        <w:rPr/>
      </w:pPr>
      <w:r>
        <w:rPr/>
      </w:r>
    </w:p>
    <w:p>
      <w:pPr>
        <w:pStyle w:val="BodyText"/>
        <w:rPr/>
      </w:pPr>
      <w:r>
        <w:rPr/>
        <w:t xml:space="preserve">First, it is important to remember why the $1000 cap was implemented to prevent large industrial users from draining the available funds away from residential and small commercial users.  This principle should apply equally to local government entities as to large industrial customers.  </w:t>
      </w:r>
    </w:p>
    <w:p>
      <w:pPr>
        <w:pStyle w:val="BodyText"/>
        <w:rPr/>
      </w:pPr>
      <w:r>
        <w:rPr/>
      </w:r>
    </w:p>
    <w:p>
      <w:pPr>
        <w:pStyle w:val="BodyText"/>
        <w:rPr/>
      </w:pPr>
      <w:r>
        <w:rPr/>
        <w:t>A second piece of data is instructive.  Most streetlights, due to their high efficiency are in the 100 to 500 watt size.  250 watts is a common streetlight size.  This is the same wattage as some backyard spotlights that people have in their homes.  Such a lamp would receive approximately $16 dollars in customer credits per year if the credit were at 1.5 cents per kwh.  So, a streetlight is a very small load and should not be given its own separate $1000 cap.  The industrial equivalent might be to say that every electric motor in a factory should have its own cap, rather than a cap for the entire load served by that factory’s meter.</w:t>
      </w:r>
    </w:p>
    <w:p>
      <w:pPr>
        <w:pStyle w:val="BodyText"/>
        <w:rPr/>
      </w:pPr>
      <w:r>
        <w:rPr/>
      </w:r>
    </w:p>
    <w:p>
      <w:pPr>
        <w:pStyle w:val="BodyText"/>
        <w:rPr/>
      </w:pPr>
      <w:r>
        <w:rPr/>
        <w:t>Therefore the Parties recommend that there be no change in the current practice of classifying streetlights.</w:t>
      </w:r>
    </w:p>
    <w:p>
      <w:pPr>
        <w:pStyle w:val="BodyText"/>
        <w:rPr/>
      </w:pPr>
      <w:r>
        <w:rPr/>
      </w:r>
    </w:p>
    <w:p>
      <w:pPr>
        <w:pStyle w:val="BodyText"/>
        <w:rPr>
          <w:b/>
        </w:rPr>
      </w:pPr>
      <w:r>
        <w:rPr>
          <w:b/>
        </w:rPr>
        <w:t>Conclusion</w:t>
      </w:r>
    </w:p>
    <w:p>
      <w:pPr>
        <w:pStyle w:val="BodyText"/>
        <w:rPr>
          <w:b/>
        </w:rPr>
      </w:pPr>
      <w:r>
        <w:rPr>
          <w:b/>
        </w:rPr>
      </w:r>
    </w:p>
    <w:p>
      <w:pPr>
        <w:pStyle w:val="BodyText"/>
        <w:rPr/>
      </w:pPr>
      <w:r>
        <w:rPr/>
        <w:t>The Parties request that the Commission implement the changes described in our comments above.</w:t>
      </w:r>
    </w:p>
    <w:p>
      <w:pPr>
        <w:pStyle w:val="BodyText"/>
        <w:rPr/>
      </w:pPr>
      <w:r>
        <w:rPr/>
      </w:r>
    </w:p>
    <w:p>
      <w:pPr>
        <w:pStyle w:val="BodyText"/>
        <w:rPr/>
      </w:pPr>
      <w:r>
        <w:rPr/>
      </w:r>
    </w:p>
    <w:p>
      <w:pPr>
        <w:pStyle w:val="BodyText"/>
        <w:rPr/>
      </w:pPr>
      <w:r>
        <w:rPr/>
        <w:t>Submitted on behalf of the Parties by</w:t>
      </w:r>
    </w:p>
    <w:p>
      <w:pPr>
        <w:pStyle w:val="BodyText"/>
        <w:rPr/>
      </w:pPr>
      <w:r>
        <w:rPr/>
      </w:r>
    </w:p>
    <w:p>
      <w:pPr>
        <w:pStyle w:val="BodyText"/>
        <w:ind w:start="720" w:end="0"/>
        <w:rPr/>
      </w:pPr>
      <w:r>
        <w:rPr/>
        <w:t>Richard H. Counihan</w:t>
      </w:r>
    </w:p>
    <w:p>
      <w:pPr>
        <w:pStyle w:val="BodyText"/>
        <w:ind w:start="720" w:end="0"/>
        <w:rPr/>
      </w:pPr>
      <w:r>
        <w:rPr/>
        <w:t>Director, California Public Affairs</w:t>
      </w:r>
    </w:p>
    <w:p>
      <w:pPr>
        <w:pStyle w:val="BodyText"/>
        <w:ind w:start="720" w:end="0"/>
        <w:rPr/>
      </w:pPr>
      <w:r>
        <w:rPr/>
        <w:t>GreenMountain.com Company</w:t>
      </w:r>
    </w:p>
    <w:p>
      <w:pPr>
        <w:pStyle w:val="BodyText"/>
        <w:ind w:start="720" w:end="0"/>
        <w:rPr/>
      </w:pPr>
      <w:r>
        <w:rPr/>
        <w:t>50 California Street</w:t>
      </w:r>
    </w:p>
    <w:p>
      <w:pPr>
        <w:pStyle w:val="BodyText"/>
        <w:ind w:start="720" w:end="0"/>
        <w:rPr/>
      </w:pPr>
      <w:r>
        <w:rPr/>
        <w:t>Suite 1500</w:t>
      </w:r>
    </w:p>
    <w:p>
      <w:pPr>
        <w:pStyle w:val="BodyText"/>
        <w:ind w:start="720" w:end="0"/>
        <w:rPr/>
      </w:pPr>
      <w:r>
        <w:rPr/>
        <w:t>San Francisco CA 94111</w:t>
      </w:r>
    </w:p>
    <w:p>
      <w:pPr>
        <w:pStyle w:val="BodyText"/>
        <w:ind w:start="720" w:end="0"/>
        <w:rPr/>
      </w:pPr>
      <w:r>
        <w:rPr/>
        <w:t>415/439-5310</w:t>
      </w:r>
    </w:p>
    <w:p>
      <w:pPr>
        <w:pStyle w:val="BodyText"/>
        <w:ind w:start="720" w:end="0"/>
        <w:rPr/>
      </w:pPr>
      <w:hyperlink r:id="rId2">
        <w:r>
          <w:rPr>
            <w:rStyle w:val="Hyperlink"/>
          </w:rPr>
          <w:t>rick.counihan@greenmountain.com</w:t>
        </w:r>
      </w:hyperlink>
    </w:p>
    <w:p>
      <w:pPr>
        <w:pStyle w:val="BodyText"/>
        <w:ind w:start="720" w:end="0"/>
        <w:rPr/>
      </w:pPr>
      <w:r>
        <w:rPr/>
      </w:r>
    </w:p>
    <w:p>
      <w:pPr>
        <w:pStyle w:val="BodyText"/>
        <w:ind w:start="720" w:end="0"/>
        <w:rPr/>
      </w:pPr>
      <w:r>
        <w:rPr/>
        <w:t>October 1, 1999</w:t>
      </w:r>
    </w:p>
    <w:p>
      <w:pPr>
        <w:pStyle w:val="BodyText"/>
        <w:rPr>
          <w:u w:val="single"/>
        </w:rPr>
      </w:pPr>
      <w:r>
        <w:rPr>
          <w:u w:val="single"/>
        </w:rPr>
      </w:r>
    </w:p>
    <w:p>
      <w:pPr>
        <w:pStyle w:val="BodyText"/>
        <w:rPr>
          <w:u w:val="single"/>
        </w:rPr>
      </w:pPr>
      <w:r>
        <w:rPr>
          <w:u w:val="single"/>
        </w:rPr>
        <w:t xml:space="preserve"> </w:t>
      </w:r>
    </w:p>
    <w:sectPr>
      <w:footerReference w:type="default" r:id="rId3"/>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ABAG Energy will be submitting separate comments on the issue of how to apply the $1000 cap to streetlighting.</w:t>
      </w:r>
    </w:p>
  </w:footnote>
  <w:footnote w:id="3">
    <w:p>
      <w:pPr>
        <w:pStyle w:val="FootnoteText"/>
        <w:rPr/>
      </w:pPr>
      <w:r>
        <w:rPr>
          <w:rStyle w:val="FootnoteCharacters"/>
        </w:rPr>
        <w:footnoteRef/>
      </w:r>
      <w:r>
        <w:rPr/>
        <w:t xml:space="preserve"> </w:t>
      </w:r>
      <w:r>
        <w:rPr/>
        <w:t>ABAG Energy will be submitting separate comments on the issue of classifying streetlights for the purposes of the $1000 cap.  To the extent those comments differ from the ones contained here, the Commission should assume that the separate comments represent ABAB Energy’s true comments and not the comments contained here.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ick.counihan@greenmountain.com"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1999-10-01T20:16:00Z</dcterms:created>
  <dc:creator>Green Mountain</dc:creator>
  <dc:description/>
  <dc:language>en-CA</dc:language>
  <cp:lastModifiedBy>Green Mountain</cp:lastModifiedBy>
  <cp:lastPrinted>1999-10-01T18:33:00Z</cp:lastPrinted>
  <dcterms:modified xsi:type="dcterms:W3CDTF">1999-10-01T20:16:00Z</dcterms:modified>
  <cp:revision>2</cp:revision>
  <dc:subject/>
  <dc:title>DRAFT</dc:title>
</cp:coreProperties>
</file>