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8"/>
        </w:rPr>
      </w:pPr>
      <w:r>
        <w:rPr>
          <w:b/>
          <w:sz w:val="28"/>
        </w:rPr>
        <w:t>UNITED STATES OF AMERICA</w:t>
      </w:r>
    </w:p>
    <w:p>
      <w:pPr>
        <w:pStyle w:val="Normal"/>
        <w:widowControl/>
        <w:jc w:val="center"/>
        <w:rPr>
          <w:b/>
          <w:sz w:val="28"/>
        </w:rPr>
      </w:pPr>
      <w:r>
        <w:rPr>
          <w:b/>
          <w:sz w:val="28"/>
        </w:rPr>
        <w:t>BEFORE THE</w:t>
      </w:r>
    </w:p>
    <w:p>
      <w:pPr>
        <w:pStyle w:val="Normal"/>
        <w:widowControl/>
        <w:jc w:val="center"/>
        <w:rPr>
          <w:sz w:val="28"/>
        </w:rPr>
      </w:pPr>
      <w:r>
        <w:rPr>
          <w:b/>
          <w:sz w:val="28"/>
        </w:rPr>
        <w:t>FEDERAL ENERGY REGULATORY COMMISSION</w:t>
      </w:r>
    </w:p>
    <w:p>
      <w:pPr>
        <w:pStyle w:val="Normal"/>
        <w:widowControl/>
        <w:jc w:val="center"/>
        <w:rPr>
          <w:sz w:val="28"/>
        </w:rPr>
      </w:pPr>
      <w:r>
        <w:rPr>
          <w:sz w:val="28"/>
        </w:rPr>
      </w:r>
    </w:p>
    <w:p>
      <w:pPr>
        <w:pStyle w:val="Normal"/>
        <w:widowControl/>
        <w:jc w:val="both"/>
        <w:rPr/>
      </w:pPr>
      <w:r>
        <w:rPr/>
        <w:t>__________________________________________</w:t>
      </w:r>
    </w:p>
    <w:p>
      <w:pPr>
        <w:pStyle w:val="Normal"/>
        <w:widowControl/>
        <w:ind w:firstLine="5040" w:end="0"/>
        <w:jc w:val="both"/>
        <w:rPr/>
      </w:pPr>
      <w:r>
        <w:rPr/>
        <w:t>)</w:t>
      </w:r>
    </w:p>
    <w:p>
      <w:pPr>
        <w:pStyle w:val="Normal"/>
        <w:widowControl/>
        <w:tabs>
          <w:tab w:val="clear" w:pos="720"/>
          <w:tab w:val="left" w:pos="-1440" w:leader="none"/>
        </w:tabs>
        <w:ind w:hanging="5040" w:start="5040" w:end="0"/>
        <w:jc w:val="both"/>
        <w:rPr/>
      </w:pPr>
      <w:r>
        <w:rPr/>
        <w:t>San Diego Gas &amp; Electric Company,</w:t>
        <w:tab/>
        <w:tab/>
        <w:tab/>
        <w:t>)</w:t>
      </w:r>
    </w:p>
    <w:p>
      <w:pPr>
        <w:pStyle w:val="Normal"/>
        <w:widowControl/>
        <w:ind w:firstLine="5040" w:end="0"/>
        <w:jc w:val="both"/>
        <w:rPr/>
      </w:pPr>
      <w:r>
        <w:rPr/>
        <w:t>)</w:t>
      </w:r>
    </w:p>
    <w:p>
      <w:pPr>
        <w:pStyle w:val="Normal"/>
        <w:widowControl/>
        <w:ind w:firstLine="2880" w:end="0"/>
        <w:jc w:val="both"/>
        <w:rPr/>
      </w:pPr>
      <w:r>
        <w:rPr/>
        <w:t>Complainant</w:t>
        <w:tab/>
        <w:tab/>
        <w:t>)</w:t>
      </w:r>
    </w:p>
    <w:p>
      <w:pPr>
        <w:pStyle w:val="Normal"/>
        <w:widowControl/>
        <w:jc w:val="both"/>
        <w:rPr/>
      </w:pPr>
      <w:r>
        <w:rPr/>
        <w:t xml:space="preserve"> </w:t>
      </w:r>
      <w:r>
        <w:rPr/>
        <w:tab/>
        <w:tab/>
        <w:tab/>
        <w:tab/>
        <w:tab/>
        <w:tab/>
        <w:tab/>
        <w:t>)</w:t>
      </w:r>
    </w:p>
    <w:p>
      <w:pPr>
        <w:pStyle w:val="Normal"/>
        <w:widowControl/>
        <w:ind w:firstLine="5040" w:end="0"/>
        <w:jc w:val="both"/>
        <w:rPr/>
      </w:pPr>
      <w:r>
        <w:rPr/>
        <w:t>)</w:t>
      </w:r>
    </w:p>
    <w:p>
      <w:pPr>
        <w:pStyle w:val="Normal"/>
        <w:widowControl/>
        <w:ind w:firstLine="1440" w:end="0"/>
        <w:jc w:val="both"/>
        <w:rPr/>
      </w:pPr>
      <w:r>
        <w:rPr/>
        <w:t>v.</w:t>
        <w:tab/>
        <w:tab/>
        <w:tab/>
        <w:tab/>
        <w:tab/>
        <w:t>)</w:t>
      </w:r>
    </w:p>
    <w:p>
      <w:pPr>
        <w:pStyle w:val="Normal"/>
        <w:widowControl/>
        <w:ind w:firstLine="5040" w:end="0"/>
        <w:jc w:val="both"/>
        <w:rPr/>
      </w:pPr>
      <w:r>
        <w:rPr/>
        <w:t>)</w:t>
      </w:r>
    </w:p>
    <w:p>
      <w:pPr>
        <w:pStyle w:val="Normal"/>
        <w:widowControl/>
        <w:jc w:val="both"/>
        <w:rPr/>
      </w:pPr>
      <w:r>
        <w:rPr/>
        <w:t>Sellers of Energy and Ancillary Services</w:t>
        <w:tab/>
        <w:tab/>
        <w:t>)</w:t>
        <w:tab/>
        <w:t>Docket No. EL00-95-031</w:t>
      </w:r>
    </w:p>
    <w:p>
      <w:pPr>
        <w:pStyle w:val="Normal"/>
        <w:widowControl/>
        <w:jc w:val="both"/>
        <w:rPr/>
      </w:pPr>
      <w:r>
        <w:rPr/>
        <w:t>into Markets Operated by the California</w:t>
        <w:tab/>
        <w:tab/>
        <w:t>)</w:t>
      </w:r>
    </w:p>
    <w:p>
      <w:pPr>
        <w:pStyle w:val="Normal"/>
        <w:widowControl/>
        <w:jc w:val="both"/>
        <w:rPr/>
      </w:pPr>
      <w:r>
        <w:rPr/>
        <w:t>Independent System Operator and the</w:t>
        <w:tab/>
        <w:tab/>
        <w:t>)</w:t>
      </w:r>
    </w:p>
    <w:p>
      <w:pPr>
        <w:pStyle w:val="Normal"/>
        <w:widowControl/>
        <w:tabs>
          <w:tab w:val="clear" w:pos="720"/>
          <w:tab w:val="left" w:pos="-1440" w:leader="none"/>
        </w:tabs>
        <w:ind w:hanging="5040" w:start="5040" w:end="0"/>
        <w:jc w:val="both"/>
        <w:rPr/>
      </w:pPr>
      <w:r>
        <w:rPr/>
        <w:t>California Power Exchange,</w:t>
        <w:tab/>
        <w:tab/>
        <w:tab/>
        <w:tab/>
        <w:t>)</w:t>
      </w:r>
    </w:p>
    <w:p>
      <w:pPr>
        <w:pStyle w:val="Normal"/>
        <w:widowControl/>
        <w:ind w:firstLine="5040" w:end="0"/>
        <w:jc w:val="both"/>
        <w:rPr/>
      </w:pPr>
      <w:r>
        <w:rPr/>
        <w:t>)</w:t>
      </w:r>
    </w:p>
    <w:p>
      <w:pPr>
        <w:pStyle w:val="Normal"/>
        <w:widowControl/>
        <w:tabs>
          <w:tab w:val="clear" w:pos="720"/>
          <w:tab w:val="left" w:pos="-1440" w:leader="none"/>
        </w:tabs>
        <w:ind w:hanging="2160" w:start="5040" w:end="0"/>
        <w:jc w:val="both"/>
        <w:rPr/>
      </w:pPr>
      <w:r>
        <w:rPr/>
        <w:t xml:space="preserve"> </w:t>
      </w:r>
      <w:r>
        <w:rPr/>
        <w:t>Respondents.</w:t>
        <w:tab/>
        <w:tab/>
        <w:t>)</w:t>
      </w:r>
    </w:p>
    <w:p>
      <w:pPr>
        <w:pStyle w:val="Normal"/>
        <w:widowControl/>
        <w:jc w:val="both"/>
        <w:rPr/>
      </w:pPr>
      <w:r>
        <w:rPr/>
        <w:t>__________________________________________)</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b/>
          <w:sz w:val="28"/>
        </w:rPr>
      </w:pPr>
      <w:r>
        <w:rPr>
          <w:b/>
          <w:sz w:val="28"/>
        </w:rPr>
        <w:t xml:space="preserve">STATEMENT OF </w:t>
      </w:r>
    </w:p>
    <w:p>
      <w:pPr>
        <w:pStyle w:val="Normal"/>
        <w:widowControl/>
        <w:jc w:val="center"/>
        <w:rPr>
          <w:b/>
          <w:sz w:val="28"/>
        </w:rPr>
      </w:pPr>
      <w:r>
        <w:rPr>
          <w:b/>
          <w:sz w:val="28"/>
        </w:rPr>
        <w:t xml:space="preserve">ENRON POWER MARKETING, INC. AND </w:t>
      </w:r>
    </w:p>
    <w:p>
      <w:pPr>
        <w:pStyle w:val="Normal"/>
        <w:widowControl/>
        <w:jc w:val="center"/>
        <w:rPr>
          <w:b/>
          <w:sz w:val="28"/>
        </w:rPr>
      </w:pPr>
      <w:r>
        <w:rPr>
          <w:b/>
          <w:sz w:val="28"/>
        </w:rPr>
        <w:t>ENRON ENERGY SERVICES</w:t>
      </w:r>
    </w:p>
    <w:p>
      <w:pPr>
        <w:pStyle w:val="Normal"/>
        <w:widowControl/>
        <w:jc w:val="center"/>
        <w:rPr>
          <w:sz w:val="28"/>
        </w:rPr>
      </w:pPr>
      <w:r>
        <w:rPr>
          <w:b/>
          <w:sz w:val="28"/>
        </w:rPr>
        <w:t>IN CONNECTION WITH SETTLEMENT DISCUSSIONS BEFORE CHIEF JUDGE WAGNER</w:t>
      </w:r>
    </w:p>
    <w:p>
      <w:pPr>
        <w:pStyle w:val="Normal"/>
        <w:widowControl/>
        <w:spacing w:lineRule="auto" w:line="480"/>
        <w:jc w:val="both"/>
        <w:rPr>
          <w:sz w:val="28"/>
        </w:rPr>
      </w:pPr>
      <w:r>
        <w:rPr>
          <w:sz w:val="28"/>
        </w:rPr>
      </w:r>
    </w:p>
    <w:p>
      <w:pPr>
        <w:pStyle w:val="Normal"/>
        <w:widowControl/>
        <w:spacing w:lineRule="auto" w:line="480"/>
        <w:ind w:firstLine="720" w:end="0"/>
        <w:jc w:val="both"/>
        <w:rPr/>
      </w:pPr>
      <w:r>
        <w:rPr/>
        <w:t xml:space="preserve">Enron Power Marketing, Inc. ("EPMI") and Enron Energy Services ("EES") (collectively, "Enron") offer this statement in connection with their participation in the Settlement proceedings in the above-captioned proceeding.  </w:t>
      </w:r>
    </w:p>
    <w:p>
      <w:pPr>
        <w:pStyle w:val="Normal"/>
        <w:widowControl/>
        <w:spacing w:lineRule="auto" w:line="480"/>
        <w:jc w:val="both"/>
        <w:rPr/>
      </w:pPr>
      <w:r>
        <w:rPr/>
      </w:r>
    </w:p>
    <w:p>
      <w:pPr>
        <w:pStyle w:val="Normal"/>
        <w:widowControl/>
        <w:spacing w:lineRule="auto" w:line="480"/>
        <w:jc w:val="both"/>
        <w:rPr/>
      </w:pPr>
      <w:r>
        <w:rPr/>
      </w:r>
    </w:p>
    <w:p>
      <w:pPr>
        <w:pStyle w:val="Normal"/>
        <w:widowControl/>
        <w:spacing w:lineRule="auto" w:line="480"/>
        <w:jc w:val="both"/>
        <w:rPr/>
      </w:pPr>
      <w:r>
        <w:rPr/>
      </w:r>
    </w:p>
    <w:p>
      <w:pPr>
        <w:pStyle w:val="Normal"/>
        <w:widowControl/>
        <w:spacing w:lineRule="auto" w:line="480"/>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jc w:val="center"/>
        <w:rPr>
          <w:b/>
          <w:sz w:val="28"/>
        </w:rPr>
      </w:pPr>
      <w:r>
        <w:rPr>
          <w:b/>
          <w:sz w:val="28"/>
        </w:rPr>
        <w:t>I.</w:t>
      </w:r>
    </w:p>
    <w:p>
      <w:pPr>
        <w:pStyle w:val="Normal"/>
        <w:widowControl/>
        <w:jc w:val="center"/>
        <w:rPr>
          <w:b/>
          <w:u w:val="single"/>
        </w:rPr>
      </w:pPr>
      <w:r>
        <w:rPr>
          <w:b/>
          <w:sz w:val="28"/>
          <w:u w:val="single"/>
        </w:rPr>
        <w:t>COMMUNICATIONS</w:t>
      </w:r>
    </w:p>
    <w:p>
      <w:pPr>
        <w:pStyle w:val="Normal"/>
        <w:widowControl/>
        <w:jc w:val="both"/>
        <w:rPr>
          <w:b/>
          <w:u w:val="single"/>
        </w:rPr>
      </w:pPr>
      <w:r>
        <w:rPr>
          <w:b/>
          <w:u w:val="single"/>
        </w:rPr>
      </w:r>
    </w:p>
    <w:p>
      <w:pPr>
        <w:pStyle w:val="Normal"/>
        <w:widowControl/>
        <w:spacing w:lineRule="auto" w:line="480"/>
        <w:jc w:val="both"/>
        <w:rPr/>
      </w:pPr>
      <w:r>
        <w:rPr/>
        <w:t>Communications and correspondence regarding this proceeding should be directed to:</w:t>
      </w:r>
    </w:p>
    <w:p>
      <w:pPr>
        <w:pStyle w:val="Normal"/>
        <w:widowControl/>
        <w:tabs>
          <w:tab w:val="clear" w:pos="720"/>
          <w:tab w:val="left" w:pos="-1440" w:leader="none"/>
        </w:tabs>
        <w:ind w:hanging="5040" w:start="5040" w:end="0"/>
        <w:jc w:val="both"/>
        <w:rPr/>
      </w:pPr>
      <w:r>
        <w:rPr/>
        <w:t>Ray Alvarez</w:t>
        <w:tab/>
        <w:tab/>
        <w:tab/>
        <w:tab/>
        <w:tab/>
        <w:tab/>
        <w:t>Jeffery D. Watkiss</w:t>
      </w:r>
    </w:p>
    <w:p>
      <w:pPr>
        <w:pStyle w:val="Normal"/>
        <w:widowControl/>
        <w:tabs>
          <w:tab w:val="clear" w:pos="720"/>
          <w:tab w:val="left" w:pos="-1440" w:leader="none"/>
        </w:tabs>
        <w:ind w:hanging="5040" w:start="5040" w:end="0"/>
        <w:jc w:val="both"/>
        <w:rPr/>
      </w:pPr>
      <w:r>
        <w:rPr/>
        <w:t>Vice President, Federal Regulatory Affairs</w:t>
        <w:tab/>
        <w:tab/>
        <w:t>Bracewell &amp; Patterson, L.L.P.</w:t>
      </w:r>
    </w:p>
    <w:p>
      <w:pPr>
        <w:pStyle w:val="Normal"/>
        <w:widowControl/>
        <w:tabs>
          <w:tab w:val="clear" w:pos="720"/>
          <w:tab w:val="left" w:pos="-1440" w:leader="none"/>
        </w:tabs>
        <w:ind w:hanging="5040" w:start="5040" w:end="0"/>
        <w:jc w:val="both"/>
        <w:rPr/>
      </w:pPr>
      <w:r>
        <w:rPr/>
        <w:t>Enron Corp.</w:t>
        <w:tab/>
        <w:tab/>
        <w:tab/>
        <w:tab/>
        <w:tab/>
        <w:tab/>
        <w:t>2000 K Street, N.W.</w:t>
      </w:r>
    </w:p>
    <w:p>
      <w:pPr>
        <w:pStyle w:val="Normal"/>
        <w:widowControl/>
        <w:tabs>
          <w:tab w:val="clear" w:pos="720"/>
          <w:tab w:val="left" w:pos="-1440" w:leader="none"/>
        </w:tabs>
        <w:ind w:hanging="5040" w:start="5040" w:end="0"/>
        <w:jc w:val="both"/>
        <w:rPr/>
      </w:pPr>
      <w:r>
        <w:rPr/>
        <w:t>1775 Eye Street, N.W., Suite 800</w:t>
        <w:tab/>
        <w:tab/>
        <w:tab/>
        <w:t>Suite 500</w:t>
      </w:r>
    </w:p>
    <w:p>
      <w:pPr>
        <w:pStyle w:val="Normal"/>
        <w:widowControl/>
        <w:jc w:val="both"/>
        <w:rPr/>
      </w:pPr>
      <w:r>
        <w:rPr/>
        <w:t>Washington, D.C.  20006</w:t>
        <w:tab/>
        <w:tab/>
        <w:tab/>
        <w:tab/>
        <w:t>Washington, D.C. 20006-1872</w:t>
      </w:r>
    </w:p>
    <w:p>
      <w:pPr>
        <w:pStyle w:val="Normal"/>
        <w:widowControl/>
        <w:tabs>
          <w:tab w:val="clear" w:pos="720"/>
          <w:tab w:val="left" w:pos="-1440" w:leader="none"/>
        </w:tabs>
        <w:ind w:hanging="5040" w:start="5040" w:end="0"/>
        <w:jc w:val="both"/>
        <w:rPr/>
      </w:pPr>
      <w:r>
        <w:rPr/>
        <w:t>(202) 466-9170</w:t>
        <w:tab/>
        <w:tab/>
        <w:tab/>
        <w:tab/>
        <w:tab/>
        <w:t>(202) 828-5800</w:t>
      </w:r>
    </w:p>
    <w:p>
      <w:pPr>
        <w:pStyle w:val="Normal"/>
        <w:widowControl/>
        <w:tabs>
          <w:tab w:val="clear" w:pos="720"/>
          <w:tab w:val="left" w:pos="-1440" w:leader="none"/>
        </w:tabs>
        <w:ind w:hanging="5040" w:start="5040" w:end="0"/>
        <w:jc w:val="both"/>
        <w:rPr/>
      </w:pPr>
      <w:r>
        <w:rPr/>
        <w:t>(202) 955-8496 (fax)</w:t>
        <w:tab/>
        <w:tab/>
        <w:tab/>
        <w:tab/>
        <w:tab/>
        <w:t>(202) 223-1225</w:t>
      </w:r>
    </w:p>
    <w:p>
      <w:pPr>
        <w:pStyle w:val="Normal"/>
        <w:widowControl/>
        <w:tabs>
          <w:tab w:val="clear" w:pos="720"/>
          <w:tab w:val="left" w:pos="-1440" w:leader="none"/>
        </w:tabs>
        <w:ind w:hanging="5040" w:start="5040" w:end="0"/>
        <w:jc w:val="both"/>
        <w:rPr>
          <w:sz w:val="22"/>
        </w:rPr>
      </w:pPr>
      <w:r>
        <w:rPr>
          <w:sz w:val="22"/>
        </w:rPr>
        <w:t>ray.alvarez@enron.com</w:t>
        <w:tab/>
        <w:tab/>
        <w:tab/>
        <w:tab/>
        <w:tab/>
        <w:t>dwatkiss@bracepatt.com</w:t>
      </w:r>
    </w:p>
    <w:p>
      <w:pPr>
        <w:pStyle w:val="Normal"/>
        <w:widowControl/>
        <w:jc w:val="both"/>
        <w:rPr/>
      </w:pPr>
      <w:r>
        <w:rPr/>
      </w:r>
    </w:p>
    <w:p>
      <w:pPr>
        <w:pStyle w:val="Normal"/>
        <w:widowControl/>
        <w:jc w:val="both"/>
        <w:rPr/>
      </w:pPr>
      <w:r>
        <w:rPr/>
      </w:r>
    </w:p>
    <w:p>
      <w:pPr>
        <w:pStyle w:val="Normal"/>
        <w:widowControl/>
        <w:jc w:val="center"/>
        <w:rPr>
          <w:sz w:val="28"/>
        </w:rPr>
      </w:pPr>
      <w:r>
        <w:rPr>
          <w:sz w:val="28"/>
        </w:rPr>
        <w:t>II.</w:t>
      </w:r>
    </w:p>
    <w:p>
      <w:pPr>
        <w:pStyle w:val="Normal"/>
        <w:widowControl/>
        <w:jc w:val="center"/>
        <w:rPr>
          <w:u w:val="single"/>
        </w:rPr>
      </w:pPr>
      <w:r>
        <w:rPr>
          <w:b/>
          <w:sz w:val="28"/>
          <w:u w:val="single"/>
        </w:rPr>
        <w:t>STATEMENT</w:t>
      </w:r>
    </w:p>
    <w:p>
      <w:pPr>
        <w:pStyle w:val="Normal"/>
        <w:widowControl/>
        <w:tabs>
          <w:tab w:val="clear" w:pos="720"/>
          <w:tab w:val="left" w:pos="-1440" w:leader="none"/>
        </w:tabs>
        <w:jc w:val="both"/>
        <w:rPr>
          <w:sz w:val="26"/>
          <w:u w:val="single"/>
        </w:rPr>
      </w:pPr>
      <w:r>
        <w:rPr>
          <w:sz w:val="26"/>
          <w:u w:val="single"/>
        </w:rPr>
      </w:r>
    </w:p>
    <w:p>
      <w:pPr>
        <w:pStyle w:val="Heading1"/>
        <w:ind w:hanging="0" w:start="0"/>
        <w:rPr/>
      </w:pPr>
      <w:r>
        <w:rPr/>
        <w:t>Introduction and Summary of Enron’s Position</w:t>
      </w:r>
    </w:p>
    <w:p>
      <w:pPr>
        <w:pStyle w:val="Normal"/>
        <w:rPr/>
      </w:pPr>
      <w:r>
        <w:rPr/>
      </w:r>
    </w:p>
    <w:p>
      <w:pPr>
        <w:pStyle w:val="BodyText2"/>
        <w:rPr/>
      </w:pPr>
      <w:r>
        <w:rPr/>
        <w:tab/>
        <w:t xml:space="preserve">Initially, Enron wishes to acknowledge and commend Chief Judge Wagner and the Commission Staff who assisted him during the settlement proceedings for their hard work and commitment to the objectives set forth in the Commission’s June 19, 2001 order.  Enron appreciates the efforts of Judge Wagner and his Staff to broker a fair settlement agreement under extremely challenging circumstances.  </w:t>
      </w:r>
    </w:p>
    <w:p>
      <w:pPr>
        <w:pStyle w:val="BodyText2"/>
        <w:rPr/>
      </w:pPr>
      <w:r>
        <w:rPr/>
        <w:tab/>
        <w:t xml:space="preserve">Enron has tried to approach this process with equal resolve and good faith.  Despite the dubious factual and legal underpinnings for California’s widely reported claim that it was “owed” nearly $ 9 billion, Enron began this process with an open mind.  Further, while we had (and continue to have) serious misgivings about the desire of California’s political leadership to settle these issues in a fair and constructive manner, Enron dedicated the resources and time necessary to work toward a rational and principled resolution of not just the issue of refunds, but the root problems that continue to plague California’s electricity market and impose mounting costs on its consumers.  </w:t>
      </w:r>
    </w:p>
    <w:p>
      <w:pPr>
        <w:pStyle w:val="BodyText2"/>
        <w:tabs>
          <w:tab w:val="clear" w:pos="144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 xml:space="preserve">Unfortunately, the political leadership of California appears to be more interested in polls than policy.  They have consistently avoided taking responsibility for their bad decisions and caused the State’s power supply problem to escalate into a financial crisis.  Their mismanagement of this problem has dramatically increased costs to California consumers and soon will impose more costs on them as taxpayers.  In addition to the direct financial burden caused by the State’s poor public stewardship, the intangible costs to the State are incalculable and will be evident for years to come.  Now, the political leadership wants private industry – preferably “out-of-state energy companies” - to pick up the tab for their mistakes.  During the settlement conference, Enron described how California public officials have led the State’s citizens down a remarkably irresponsible path by continually refusing to implement policies that would have insulated consumers from volatile spot market prices.  The cost of these failures to California consumers and the sum exceeds the $8.9 billion sum the State has claimed in this proceeding.  If equity is a factor in these proceedings, the Commission cannot overlook these factors when considering the issue of refunds.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 xml:space="preserve">Even if the Commission elects to overlook California’s role in creating this crisis, it should refrain from casting too wide a net in search of dollars to help satisfy California’s demands.  We obviously cannot speak for any other market participant, but Enron has done nothing to justify a “refund” in connection with any of its activities in the Western power market.  Enron was specifically authorized by this Commission to sell power in California at market prices.  The Commission accepted Enron’s rate schedules based on a specific finding that Enron did not possess market power in the California market.  Enron has complied with these rate schedules at all times and no one has alleged, nor has the Commission ever found, to the contrary.  </w:t>
      </w:r>
    </w:p>
    <w:p>
      <w:pPr>
        <w:sectPr>
          <w:type w:val="continuous"/>
          <w:pgSz w:w="12240" w:h="15840"/>
          <w:pgMar w:left="1440" w:right="1440" w:gutter="0" w:header="0" w:top="1440" w:footer="0" w:bottom="1440"/>
          <w:formProt w:val="false"/>
          <w:textDirection w:val="lrTb"/>
          <w:docGrid w:type="default" w:linePitch="360" w:charSpace="0"/>
        </w:sectPr>
      </w:pPr>
    </w:p>
    <w:p>
      <w:pPr>
        <w:pStyle w:val="BodyText2"/>
        <w:rPr/>
      </w:pPr>
      <w:r>
        <w:rPr/>
        <w:tab/>
        <w:t xml:space="preserve">The wild claims by the California Independent System Operator (CAISO), which has become nothing more than an arm of the State’s political leadership, remain legally and factually baseless.  The State’s political leadership obviously hopes that if it repeats the number often enough, their claim will gain credibility despite the absence of any coherent rationale to support the claim.  While Enron is gratified that Chief Judge Wagner easily refuted the State’s claims, we remain steadfastly opposed to the notion that Enron owes anyone a refund, however minimal that sum may be.  </w:t>
      </w:r>
    </w:p>
    <w:p>
      <w:pPr>
        <w:pStyle w:val="Normal"/>
        <w:widowControl/>
        <w:numPr>
          <w:ilvl w:val="0"/>
          <w:numId w:val="3"/>
        </w:numPr>
        <w:tabs>
          <w:tab w:val="clear" w:pos="720"/>
          <w:tab w:val="left" w:pos="-1440" w:leader="none"/>
        </w:tabs>
        <w:jc w:val="both"/>
        <w:rPr>
          <w:b/>
          <w:i/>
          <w:i/>
          <w:sz w:val="26"/>
        </w:rPr>
      </w:pPr>
      <w:r>
        <w:rPr>
          <w:b/>
          <w:i/>
          <w:sz w:val="26"/>
        </w:rPr>
        <w:t>Enron’s Role in California Market</w:t>
      </w:r>
    </w:p>
    <w:p>
      <w:pPr>
        <w:pStyle w:val="Normal"/>
        <w:widowControl/>
        <w:tabs>
          <w:tab w:val="clear" w:pos="720"/>
          <w:tab w:val="left" w:pos="-1440" w:leader="none"/>
        </w:tabs>
        <w:ind w:start="720" w:end="0"/>
        <w:jc w:val="both"/>
        <w:rPr>
          <w:b/>
          <w:i/>
          <w:i/>
          <w:sz w:val="26"/>
        </w:rPr>
      </w:pPr>
      <w:r>
        <w:rPr>
          <w:b/>
          <w:i/>
          <w:sz w:val="26"/>
        </w:rPr>
      </w:r>
    </w:p>
    <w:p>
      <w:pPr>
        <w:pStyle w:val="Normal"/>
        <w:widowControl/>
        <w:spacing w:lineRule="auto" w:line="480"/>
        <w:ind w:firstLine="720" w:end="0"/>
        <w:jc w:val="both"/>
        <w:rPr/>
      </w:pPr>
      <w:r>
        <w:rPr/>
        <w:t>Enron’s role in the California power market has been widely misconstrued and misunderstood.  Enron is not a generator - it owns no physical generation capacity in the Western markets.</w:t>
      </w:r>
      <w:r>
        <w:rPr>
          <w:rStyle w:val="FootnoteCharacters"/>
          <w:rStyle w:val="FootnoteReference"/>
          <w:vertAlign w:val="superscript"/>
        </w:rPr>
        <w:footnoteReference w:id="2"/>
      </w:r>
      <w:r>
        <w:rPr/>
        <w:t xml:space="preserve">  Nor is Enron simply a buyer serving retail customers.  Rather, Enron is a market maker.  In the wholesale market, Enron provides liquidity and transparency to other wholesale market participants, managing price risk and improving overall market efficiency.  In the retail market in California, Enron is a registered Electric Service Provider ("ESP"), in which capacity Enron provides innovative retail electricity services to commercial and industrial customers.  </w:t>
      </w:r>
    </w:p>
    <w:p>
      <w:pPr>
        <w:pStyle w:val="Normal"/>
        <w:widowControl/>
        <w:spacing w:lineRule="auto" w:line="480"/>
        <w:ind w:firstLine="720" w:end="0"/>
        <w:jc w:val="both"/>
        <w:rPr/>
      </w:pPr>
      <w:r>
        <w:rPr/>
        <w:t xml:space="preserve">In both the wholesale and retail California markets, Enron has no interest in seeing "high" prices or "low" prices since Enron's profit is the delta in excess of whatever price is in effect.  Enron's interest is in developing workably competitive markets and having non-discriminatory access to monopoly transmission and distribution facilities. </w:t>
      </w:r>
    </w:p>
    <w:p>
      <w:pPr>
        <w:pStyle w:val="Normal"/>
        <w:widowControl/>
        <w:numPr>
          <w:ilvl w:val="0"/>
          <w:numId w:val="3"/>
        </w:numPr>
        <w:tabs>
          <w:tab w:val="clear" w:pos="720"/>
          <w:tab w:val="left" w:pos="-1440" w:leader="none"/>
        </w:tabs>
        <w:jc w:val="both"/>
        <w:rPr>
          <w:b/>
          <w:i/>
          <w:i/>
          <w:sz w:val="26"/>
        </w:rPr>
      </w:pPr>
      <w:r>
        <w:rPr>
          <w:b/>
          <w:i/>
          <w:sz w:val="26"/>
        </w:rPr>
        <w:t xml:space="preserve">Enron fully complied with its tariffs and all Commission orders    </w:t>
      </w:r>
    </w:p>
    <w:p>
      <w:pPr>
        <w:pStyle w:val="Normal"/>
        <w:widowControl/>
        <w:tabs>
          <w:tab w:val="clear" w:pos="720"/>
          <w:tab w:val="left" w:pos="-1440" w:leader="none"/>
        </w:tabs>
        <w:ind w:start="720" w:end="0"/>
        <w:jc w:val="both"/>
        <w:rPr>
          <w:b/>
          <w:i/>
          <w:i/>
          <w:sz w:val="26"/>
        </w:rPr>
      </w:pPr>
      <w:r>
        <w:rPr>
          <w:b/>
          <w:i/>
          <w:sz w:val="26"/>
        </w:rPr>
      </w:r>
    </w:p>
    <w:p>
      <w:pPr>
        <w:pStyle w:val="Normal"/>
        <w:widowControl/>
        <w:spacing w:lineRule="auto" w:line="480"/>
        <w:ind w:firstLine="720" w:end="0"/>
        <w:jc w:val="both"/>
        <w:rPr/>
      </w:pPr>
      <w:r>
        <w:rPr/>
        <w:t>Pursuant to December 2, 1993, and November 26, 1997, orders, the Commission accepted EPMI's and EES' Rate Schedules FERC No. 1, authorizing both EPMI and EES to sell power at market prices, including in California.</w:t>
      </w:r>
      <w:r>
        <w:rPr>
          <w:rStyle w:val="FootnoteCharacters"/>
          <w:rStyle w:val="FootnoteReference"/>
          <w:vertAlign w:val="superscript"/>
        </w:rPr>
        <w:footnoteReference w:id="3"/>
      </w:r>
      <w:r>
        <w:rPr/>
        <w:t xml:space="preserve">  The Commission accepted those rate schedules based on its specific findings that EPMI and EES met the Commission's market power standards for approval of market-based rates.</w:t>
      </w:r>
      <w:r>
        <w:rPr>
          <w:rStyle w:val="FootnoteCharacters"/>
          <w:rStyle w:val="FootnoteReference"/>
          <w:vertAlign w:val="superscript"/>
        </w:rPr>
        <w:footnoteReference w:id="4"/>
      </w:r>
      <w:r>
        <w:rPr/>
        <w:t xml:space="preserve">  Enron did not possess market power in the California market.  At all times, Enron has complied with these rate schedules; no one has ever alleged nor has the Commission ever found to the contrary.  Moreover, as a power marketer, Enron has acted primarily as a "price taker” in the California market.  In short, Enron did not own or control any transmission or generation assets that could have been used to build a position of market power. </w:t>
      </w:r>
    </w:p>
    <w:p>
      <w:pPr>
        <w:pStyle w:val="Normal"/>
        <w:widowControl/>
        <w:numPr>
          <w:ilvl w:val="0"/>
          <w:numId w:val="3"/>
        </w:numPr>
        <w:tabs>
          <w:tab w:val="clear" w:pos="720"/>
          <w:tab w:val="left" w:pos="-1440" w:leader="none"/>
        </w:tabs>
        <w:jc w:val="both"/>
        <w:rPr>
          <w:b/>
          <w:i/>
          <w:i/>
          <w:sz w:val="26"/>
        </w:rPr>
      </w:pPr>
      <w:r>
        <w:rPr>
          <w:b/>
          <w:i/>
          <w:sz w:val="26"/>
        </w:rPr>
        <w:t>California’s Responsibility for Creating and Exacerbating the State’s Power Crisis</w:t>
      </w:r>
    </w:p>
    <w:p>
      <w:pPr>
        <w:pStyle w:val="Normal"/>
        <w:widowControl/>
        <w:tabs>
          <w:tab w:val="clear" w:pos="720"/>
          <w:tab w:val="left" w:pos="-1440" w:leader="none"/>
        </w:tabs>
        <w:jc w:val="both"/>
        <w:rPr>
          <w:b/>
          <w:i/>
          <w:i/>
          <w:sz w:val="26"/>
        </w:rPr>
      </w:pPr>
      <w:r>
        <w:rPr>
          <w:b/>
          <w:i/>
          <w:sz w:val="26"/>
        </w:rPr>
      </w:r>
    </w:p>
    <w:p>
      <w:pPr>
        <w:pStyle w:val="Normal"/>
        <w:widowControl/>
        <w:spacing w:lineRule="auto" w:line="480"/>
        <w:ind w:firstLine="720" w:end="0"/>
        <w:jc w:val="both"/>
        <w:rPr/>
      </w:pPr>
      <w:r>
        <w:rPr/>
        <w:t>In the months since shortages and resulting high prices began to wreak havoc in California energy markets, there have been multiple investigations and reports on the causes of the crisis.  Uniformly, many of these investigators report that the crisis was caused, not by suppliers manipulating the California energy market, but rather by a badly flawed market structure that channeled all bulk power into a short-term, price-decontrolled wholesale market and completely divorced that market from the price-controlled retail market.</w:t>
      </w:r>
      <w:r>
        <w:rPr>
          <w:rStyle w:val="FootnoteCharacters"/>
          <w:rStyle w:val="FootnoteReference"/>
          <w:vertAlign w:val="superscript"/>
        </w:rPr>
        <w:footnoteReference w:id="5"/>
      </w:r>
      <w:r>
        <w:rPr/>
        <w:t xml:space="preserve">  [SUE MARA – I NEED YOU INSERT HERE] This transformed a problem of resource scarcity </w:t>
      </w:r>
      <w:r>
        <w:rPr>
          <w:rFonts w:cs="WP TypographicSymbols;Courier New" w:ascii="WP TypographicSymbols;Courier New" w:hAnsi="WP TypographicSymbols;Courier New"/>
        </w:rPr>
        <w:t>C</w:t>
      </w:r>
      <w:r>
        <w:rPr/>
        <w:t xml:space="preserve"> the imbalance between supply and demand for power in California into a financial crisis that has already bankrupted one California utility.</w:t>
      </w:r>
      <w:r>
        <w:rPr>
          <w:rStyle w:val="FootnoteCharacters"/>
          <w:rStyle w:val="FootnoteReference"/>
          <w:vertAlign w:val="superscript"/>
        </w:rPr>
        <w:footnoteReference w:id="6"/>
      </w:r>
    </w:p>
    <w:p>
      <w:pPr>
        <w:pStyle w:val="Normal"/>
        <w:widowControl/>
        <w:numPr>
          <w:ilvl w:val="1"/>
          <w:numId w:val="3"/>
        </w:numPr>
        <w:spacing w:lineRule="auto" w:line="480"/>
        <w:jc w:val="both"/>
        <w:rPr>
          <w:b/>
          <w:i/>
          <w:i/>
        </w:rPr>
      </w:pPr>
      <w:r>
        <w:rPr>
          <w:b/>
          <w:i/>
        </w:rPr>
        <w:t xml:space="preserve">The State Authored Its Financial Crisis </w:t>
      </w:r>
    </w:p>
    <w:p>
      <w:pPr>
        <w:pStyle w:val="Normal"/>
        <w:widowControl/>
        <w:spacing w:lineRule="auto" w:line="480"/>
        <w:ind w:firstLine="720" w:end="0"/>
        <w:jc w:val="both"/>
        <w:rPr/>
      </w:pPr>
      <w:r>
        <w:rPr/>
        <w:t xml:space="preserve">California's financial crisis was created and exacerbated by a series of blunders and a striking lack of will by the State’s political leadership to squarely confront the root causes of the problem.  Since the severe supply/demand imbalance became apparent in the spring of 2000, California decision-makers, rather than addressing the fundamental problems, have instead focused their energy on scapegoating the Commission and demonizing "out of state generators" and other suppliers.  This blame-game approach has cost California billions of dollars.  Suppliers to the California market were not the cause of these losses; those suppliers, in fact, are owed, but have not been paid, for tens of millions of dollars worth of electricity that they have delivered to the California administered centralized market. California's leaders were the cause and their culpability should be factored into any refund order.  </w:t>
      </w:r>
    </w:p>
    <w:p>
      <w:pPr>
        <w:pStyle w:val="Normal"/>
        <w:widowControl/>
        <w:spacing w:lineRule="auto" w:line="480"/>
        <w:ind w:firstLine="720" w:end="0"/>
        <w:jc w:val="both"/>
        <w:rPr/>
      </w:pPr>
      <w:r>
        <w:rPr/>
        <w:t>The supply-demand imbalance itself was caused by numerous state policies that discouraged investment in new generation and transmission infrastructure.  For over ten years no significant amount of new generating capacity was permitted and constructed in the state.  The administered market structure chosen by California embraced highly centralized spot markets for power procurement and rejected the diversity and risk management of forward bilateral contracting.  For instance, had the California Public Utilities Commission ("CPUC") pre-approved San Diego Gas &amp; Electric Company's ("SDG&amp;E") purchase of long-term contracts that suppliers, such as Enron offered, in early 2000, San Diego consumers would have saved $80 billion over the 2000-2006 timeframe.  But instead of pre-approving those contracts that offered long-term power at between $45 to $55 per megawatt hour ("MWh"), the CPUC denied approval and forced SDG&amp;E to secure the equivalent amounts of power on the spot market for prices in the range of $300 per MWh.  The CPUC made this enormous blunder even after this Commission and others had warned the state that it must end its dangerous dependence on spot markets.</w:t>
      </w:r>
      <w:r>
        <w:rPr>
          <w:rStyle w:val="FootnoteCharacters"/>
          <w:rStyle w:val="FootnoteReference"/>
          <w:vertAlign w:val="superscript"/>
        </w:rPr>
        <w:footnoteReference w:id="7"/>
      </w:r>
      <w:r>
        <w:rPr/>
        <w:t xml:space="preserve">  </w:t>
      </w:r>
    </w:p>
    <w:p>
      <w:pPr>
        <w:pStyle w:val="Normal"/>
        <w:widowControl/>
        <w:spacing w:lineRule="auto" w:line="480"/>
        <w:ind w:firstLine="720" w:end="0"/>
        <w:jc w:val="both"/>
        <w:rPr/>
      </w:pPr>
      <w:r>
        <w:rPr/>
        <w:t xml:space="preserve">Finally, the lack of political will to allow retail rates to reflect the real cost of power in wholesale markets exacerbated the already evident supply/demand imbalance.  Except for limited load management programs, demand has remained undisciplined by price throughout the crisis.  The CPUC and the California Governor openly opposed any change in retail prices to bring them in line with bulk power prices in the wholesale market even after it had become apparent that failure to increase retail prices was blocking the transmission of price signals that demand was outstripping supply and would soon bankrupt the state's investor-owned utilities.  Only after liabilities soared into the tens of billion of dollars did California's regulators finally get around (in June 2001) to raising rates close to wholesale power costs.  </w:t>
      </w:r>
    </w:p>
    <w:p>
      <w:pPr>
        <w:pStyle w:val="Normal"/>
        <w:widowControl/>
        <w:spacing w:lineRule="auto" w:line="480"/>
        <w:ind w:firstLine="720" w:end="0"/>
        <w:jc w:val="both"/>
        <w:rPr/>
      </w:pPr>
      <w:r>
        <w:rPr/>
        <w:t>There are other examples of leadership failures that further exacerbated the problem.  In late 2000 and early 2001, many qualifying cogeneration facilities ("QFs") were forced off-line because of a combination of the CPUC changing the pricing formula for natural gas cost, making running the QFs uneconomic, and the insolvent utilities falling behind in their payments for QF power.  As a result of the QFs going off line, the California Department of Water Resources ("DWR") was forced to replace approximately 2,000 MWs of QF power that cost $125 per MWh with short-term and spot purchases in the range of $300 per MWh.  Further examples of California's leaders' inability to address head on the causes of the state's power crisis are gathered in the presentation reproduced in Appendix A, which Enron earlier submitted to the Mediator in these proceedings.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 xml:space="preserve">To summarize, Enron asks the Commission to recognize that California leaders transformed the state's power supply shortage into the state's ongoing financial hemorrhaging.  Any decision by this Commission regarding refunds should recognize that California's problems were inflicted, not by suppliers, but rather by its political leaders.  The Commission should treat the demand now made by those leaders just as it would treat anyone who demanded and received a service but who now refuses payment.  That last minute, spot market prices are higher than the prices for purchases made well in advance of delivery is not evidence of price gouging or an exercise of market power.  Anyone who buys a plane ticket on the day of departure knows the premium paid for not planning in advance.  They also know that after the trip is completed, they have no right to a refund.  California’s fulfill the energy needs of its citizens through “full fare” products is no different. </w:t>
      </w:r>
    </w:p>
    <w:p>
      <w:pPr>
        <w:pStyle w:val="Normal"/>
        <w:widowControl/>
        <w:numPr>
          <w:ilvl w:val="1"/>
          <w:numId w:val="3"/>
        </w:numPr>
        <w:spacing w:lineRule="auto" w:line="480"/>
        <w:jc w:val="both"/>
        <w:rPr>
          <w:b/>
          <w:i/>
          <w:i/>
        </w:rPr>
      </w:pPr>
      <w:r>
        <w:rPr>
          <w:b/>
          <w:i/>
        </w:rPr>
        <w:t xml:space="preserve">Defiance of the Commission's Lawful Orders Has Significantly Contributed to California's Financial Debacle </w:t>
      </w:r>
    </w:p>
    <w:p>
      <w:pPr>
        <w:pStyle w:val="Normal"/>
        <w:widowControl/>
        <w:spacing w:lineRule="auto" w:line="480"/>
        <w:ind w:firstLine="720" w:end="0"/>
        <w:jc w:val="both"/>
        <w:rPr/>
      </w:pPr>
      <w:r>
        <w:rPr/>
        <w:t xml:space="preserve">In numerous orders, the Commission found many structural problems inherent in the CAISO's current system and rules and ordered the CAISO to implement necessary structural reforms to help alleviate California's financial problems and encourage participation in the California market.  Despite comments offered by Enron and other market participants suggesting ways to implement these and other reforms to repair the CAISO and achieve competitive markets in California, because of its lack of independence, CAISO has failed to make the structural reforms ordered by the Commission.  This defiance has exacerbated the severe problems in the California electricity markets.  For example, the PX's failure to implement the $150 breakpoint established in the Commission's December 15 order, </w:t>
      </w:r>
      <w:r>
        <w:rPr>
          <w:i/>
        </w:rPr>
        <w:t>see San Diego Gas &amp; Electric</w:t>
      </w:r>
      <w:r>
        <w:rPr/>
        <w:t xml:space="preserve"> </w:t>
      </w:r>
      <w:r>
        <w:rPr>
          <w:i/>
        </w:rPr>
        <w:t>Co.</w:t>
      </w:r>
      <w:r>
        <w:rPr/>
        <w:t xml:space="preserve">, 93 F.E.R.C. </w:t>
      </w:r>
      <w:r>
        <w:rPr>
          <w:rFonts w:cs="WP TypographicSymbols;Courier New" w:ascii="WP TypographicSymbols;Courier New" w:hAnsi="WP TypographicSymbols;Courier New"/>
        </w:rPr>
        <w:t>&amp;</w:t>
      </w:r>
      <w:r>
        <w:rPr/>
        <w:t xml:space="preserve"> 61,294 (2000), which resulted in sellers being paid the market clearing price, even if in excess of $150/MWh, instead of the lower, capped rate, has been a contributor to the state's financial problems.  The CAISO also has refused to implement other market reforms, including the Commission's monitoring and mitigation plan for the real-time market, set forth in the April 26 Order. </w:t>
      </w:r>
      <w:r>
        <w:rPr>
          <w:i/>
        </w:rPr>
        <w:t>See San Diego Gas &amp; Electric Co</w:t>
      </w:r>
      <w:r>
        <w:rPr/>
        <w:t xml:space="preserve">., 95 F.E.R.C. </w:t>
      </w:r>
      <w:r>
        <w:rPr>
          <w:rFonts w:cs="WP TypographicSymbols;Courier New" w:ascii="WP TypographicSymbols;Courier New" w:hAnsi="WP TypographicSymbols;Courier New"/>
        </w:rPr>
        <w:t>&amp;</w:t>
      </w:r>
      <w:r>
        <w:rPr/>
        <w:t> 61,115 at 61,354 (2001).</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 xml:space="preserve">Moreover, earlier this year, the PX invoked the use of chargebacks, whereby nondefaulting market participants were required to pay the defaults of PG&amp;E and Southern California Edison Co. ("SCE"), causing many sellers to alter their behavior, or even stay out of the PX market altogether, so they could reduce their exposure to chargebacks.  Even in the face of a clear Commission order declaring the chargeback unlawful, </w:t>
      </w:r>
      <w:r>
        <w:rPr>
          <w:i/>
        </w:rPr>
        <w:t>see Pacific Gas &amp; Electric Co. v. California Power Exchange Corp.</w:t>
      </w:r>
      <w:r>
        <w:rPr/>
        <w:t xml:space="preserve">, 95 F.E.R.C. </w:t>
      </w:r>
      <w:r>
        <w:rPr>
          <w:rFonts w:cs="WP TypographicSymbols;Courier New" w:ascii="WP TypographicSymbols;Courier New" w:hAnsi="WP TypographicSymbols;Courier New"/>
        </w:rPr>
        <w:t>&amp;</w:t>
      </w:r>
      <w:r>
        <w:rPr/>
        <w:t xml:space="preserve"> 61,020 (2001), the PX nevertheless refused to return collateral to those parties that had no remaining liability.  The CAISO (and the PX when it existed) additionally have failed to enforce provisions in their respective tariffs that could have mitigated the state's financial distresses.  For example, earlier this year, the CAISO and the PX refused to enforce tariff provisions that were designed to protect the financial interests of their participants, and allowed California's defaulting utilities to continue to participate in their markets, even when those utilities' credit ratings had fallen far below the minimum approved credit standards in their tariffs.  </w:t>
      </w:r>
    </w:p>
    <w:p>
      <w:pPr>
        <w:pStyle w:val="Normal"/>
        <w:widowControl/>
        <w:spacing w:lineRule="auto" w:line="480"/>
        <w:ind w:firstLine="720" w:end="0"/>
        <w:jc w:val="both"/>
        <w:rPr/>
      </w:pPr>
      <w:r>
        <w:rPr/>
        <w:t xml:space="preserve">This refusal to adhere to their clear terms of tariffs led to massive defaults in the CAISO and PX markets, which in turn caused sellers to avoid those markets due to lack of assurances of payment.  The Commission recognized the adverse financial impacts of allowing uncreditworthy parties to continue scheduling transactions through the markets of the CAISO and PX when it rejected pleas from the CAISO and the PX to lower their creditworthiness standards for PG&amp;E and SCE, because it would unilaterally shift "unacceptable risks" to third-party suppliers.  </w:t>
      </w:r>
      <w:r>
        <w:rPr>
          <w:i/>
        </w:rPr>
        <w:t>California Independent System Operator Corp</w:t>
      </w:r>
      <w:r>
        <w:rPr/>
        <w:t xml:space="preserve">., 94 F.E.R.C. </w:t>
      </w:r>
      <w:r>
        <w:rPr>
          <w:rFonts w:cs="WP TypographicSymbols;Courier New" w:ascii="WP TypographicSymbols;Courier New" w:hAnsi="WP TypographicSymbols;Courier New"/>
        </w:rPr>
        <w:t>&amp;</w:t>
      </w:r>
      <w:r>
        <w:rPr/>
        <w:t xml:space="preserve"> 61,132 at 61,510 (2001).  The CAISO has further refused to follow its tariff by adamantly refusing to enforce the underscheduling penalty against PG&amp;E and SCE, whose schedules have been out of balance for several months, creating hundreds of millions of dollars in penalties that remain uncollected. </w:t>
      </w:r>
    </w:p>
    <w:p>
      <w:pPr>
        <w:pStyle w:val="Normal"/>
        <w:widowControl/>
        <w:spacing w:lineRule="auto" w:line="480"/>
        <w:ind w:firstLine="720" w:end="0"/>
        <w:jc w:val="both"/>
        <w:rPr/>
      </w:pPr>
      <w:r>
        <w:rPr/>
        <w:t xml:space="preserve">Finally, the Governor's action to seat five members of the ISO governing board rather than the independent governing board contemplated by the Commission's the December 15 Order, </w:t>
      </w:r>
      <w:r>
        <w:rPr>
          <w:i/>
        </w:rPr>
        <w:t>see</w:t>
      </w:r>
      <w:r>
        <w:rPr/>
        <w:t xml:space="preserve"> 93 F.E.R.C. at 62,094, gives the distinct impression that the ISO will act only in the interests of California consumers, or worse, the political interests of the State’s leadership.  </w:t>
      </w:r>
    </w:p>
    <w:p>
      <w:pPr>
        <w:pStyle w:val="Normal"/>
        <w:widowControl/>
        <w:spacing w:lineRule="auto" w:line="480"/>
        <w:ind w:firstLine="720" w:end="0"/>
        <w:jc w:val="both"/>
        <w:rPr/>
      </w:pPr>
      <w:r>
        <w:rPr/>
        <w:t xml:space="preserve">For example, at approximately the same time that the new politicized governing board came into being, the CAISO began to artificially derate its ATC to levels far below that of previous years, which prevented generators from exporting supplies.   This plainly will create a disincentive for generators to locate their plants in California, because there is no assurance that if there that generator will be able export to power supplies to its out-of-state market.  These events described above have undoubtedly caused potential sellers to lose confidence in the California power markets as a viable place to do business, and has driven them to sell into other markets in the Western Interconnect.  This activist role that the state continues to play in the wholesale market in California is a key problem is in clear disregard for the Commission's orders to establish an independent CAISO.  </w:t>
      </w:r>
    </w:p>
    <w:p>
      <w:pPr>
        <w:pStyle w:val="Normal"/>
        <w:widowControl/>
        <w:spacing w:lineRule="auto" w:line="480"/>
        <w:ind w:firstLine="720" w:end="0"/>
        <w:jc w:val="both"/>
        <w:rPr/>
      </w:pPr>
      <w:r>
        <w:rPr/>
        <w:t xml:space="preserve">Unless and until the Commission enforces its earlier orders to find a fair and impartial Board of Directors, enforce the underscheduling penalty, establish a real-time bidding program, and implement other necessary market reforms, there can be no lasting resolution of the problems that beset the California power industry. </w:t>
      </w:r>
    </w:p>
    <w:p>
      <w:pPr>
        <w:pStyle w:val="Normal"/>
        <w:widowControl/>
        <w:numPr>
          <w:ilvl w:val="1"/>
          <w:numId w:val="3"/>
        </w:numPr>
        <w:spacing w:lineRule="auto" w:line="480"/>
        <w:jc w:val="both"/>
        <w:rPr/>
      </w:pPr>
      <w:r>
        <w:rPr>
          <w:b/>
          <w:i/>
        </w:rPr>
        <w:t xml:space="preserve">California's failure to pursue real solutions is spreading its energy supply crisis to neighboring states </w:t>
      </w:r>
    </w:p>
    <w:p>
      <w:pPr>
        <w:pStyle w:val="Normal"/>
        <w:widowControl/>
        <w:spacing w:lineRule="auto" w:line="480"/>
        <w:ind w:firstLine="720" w:end="0"/>
        <w:jc w:val="both"/>
        <w:rPr/>
      </w:pPr>
      <w:r>
        <w:rPr/>
        <w:t xml:space="preserve">California's open defiance with this Commission's order is not only exacerbating its own crisis but also causing it to spread to other states.  Supply emergencies have now spread to Nevada.  </w:t>
      </w:r>
    </w:p>
    <w:p>
      <w:pPr>
        <w:pStyle w:val="Normal"/>
        <w:widowControl/>
        <w:spacing w:lineRule="auto" w:line="480"/>
        <w:ind w:firstLine="720" w:end="0"/>
        <w:jc w:val="both"/>
        <w:rPr/>
      </w:pPr>
      <w:r>
        <w:rPr/>
        <w:t>More ominous, however, is the threat posed to the Pacific Northwest.  California's defiance of the Commission's ordered structural reforms has caused it to seek one form of price control after another.</w:t>
      </w:r>
      <w:r>
        <w:rPr>
          <w:rStyle w:val="FootnoteCharacters"/>
          <w:rStyle w:val="FootnoteReference"/>
          <w:vertAlign w:val="superscript"/>
        </w:rPr>
        <w:footnoteReference w:id="8"/>
      </w:r>
      <w:r>
        <w:rPr/>
        <w:t xml:space="preserve">  This sequence of market interventions most recently produced the June 19 price cap imposed not only on California, but the entire eleven state region that composes the Western System Coordinating Council.  This multi-state price cap is set pegged, during period of reserve deficiency, to the operating cost of the least efficient gas turbine running </w:t>
      </w:r>
      <w:r>
        <w:rPr>
          <w:i/>
        </w:rPr>
        <w:t>in California</w:t>
      </w:r>
      <w:r>
        <w:rPr/>
        <w:t xml:space="preserve">, and during other periods, to a percentage of the most recent price cap during a reserve deficiency period.  Because the Pacific Northwest experiences its peak demand during the winter, this means that a relatively low price cap set during the autumn shoulder demand season </w:t>
      </w:r>
      <w:r>
        <w:rPr>
          <w:i/>
        </w:rPr>
        <w:t>in California</w:t>
      </w:r>
      <w:r>
        <w:rPr/>
        <w:t xml:space="preserve"> will determine what will be the price ceilings during the winter peak demand period in the Pacific Northwest.  These capped prices are certain to be lower than the market value for wholesale power and risk diverting power out of the Pacific Northwest market.</w:t>
        <w:tab/>
      </w:r>
    </w:p>
    <w:p>
      <w:pPr>
        <w:pStyle w:val="Normal"/>
        <w:widowControl/>
        <w:tabs>
          <w:tab w:val="clear" w:pos="720"/>
          <w:tab w:val="left" w:pos="-1440" w:leader="none"/>
        </w:tabs>
        <w:spacing w:lineRule="auto" w:line="480"/>
        <w:ind w:hanging="720" w:start="1440" w:end="0"/>
        <w:jc w:val="both"/>
        <w:rPr>
          <w:sz w:val="26"/>
        </w:rPr>
      </w:pPr>
      <w:r>
        <w:rPr>
          <w:b/>
          <w:i/>
          <w:sz w:val="26"/>
        </w:rPr>
        <w:t>E.</w:t>
        <w:tab/>
        <w:t>Any Refund Amount Ordered Must Based on the Law and the Facts, Not "What If" Scenarios</w:t>
      </w:r>
    </w:p>
    <w:p>
      <w:pPr>
        <w:pStyle w:val="Normal"/>
        <w:widowControl/>
        <w:spacing w:lineRule="auto" w:line="480"/>
        <w:ind w:firstLine="720" w:end="0"/>
        <w:jc w:val="both"/>
        <w:rPr/>
      </w:pPr>
      <w:r>
        <w:rPr/>
        <w:t xml:space="preserve">California's refund claim fails for two reasons.  First, California asks for refunds for power sales that are not at issue.  Specifically, it seeks refunds for power sales that occurred during time periods for which refunds cannot lawfully be granted.  In addition, the state seeks to undo bilateral transactions that were the product of arm's length bargaining and not the product of California's flawed administered centralized clearinghouse markets.  Second, California's analysis is based on hypothetical "what ifs" rather than a specific finding of fact that some power supplier violated  Commission rules and regulations or abused market power to raise prices.  </w:t>
      </w:r>
    </w:p>
    <w:p>
      <w:pPr>
        <w:pStyle w:val="Normal"/>
        <w:widowControl/>
        <w:numPr>
          <w:ilvl w:val="0"/>
          <w:numId w:val="2"/>
        </w:numPr>
        <w:spacing w:lineRule="auto" w:line="480"/>
        <w:jc w:val="both"/>
        <w:rPr>
          <w:b/>
          <w:i/>
          <w:i/>
        </w:rPr>
      </w:pPr>
      <w:r>
        <w:rPr>
          <w:b/>
          <w:i/>
        </w:rPr>
        <w:t xml:space="preserve">Only payments for sales occurring after October 2, 2000, in the CalPX and CAISO markets are subject to refund  </w:t>
      </w:r>
    </w:p>
    <w:p>
      <w:pPr>
        <w:pStyle w:val="Normal"/>
        <w:widowControl/>
        <w:spacing w:lineRule="auto" w:line="480"/>
        <w:ind w:firstLine="720" w:end="0"/>
        <w:jc w:val="both"/>
        <w:rPr/>
      </w:pPr>
      <w:r>
        <w:rPr/>
        <w:t xml:space="preserve">Much of California's refund claim is for wholesale purchases that the California parties made before October 2, 2000.  Refunds cannot legally be required for those purchases, and California's refund claim must be reduced by the amount of such claims.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 xml:space="preserve">Rates collected for wholesale sales under a filed tariff or rate schedule cannot be changed or ordered refunded for sales occurring before a "refund effective date."  A "refund effective date" is established by the filing of a complaint or by the Commission instituting an investigation on its own motion into the charges authorized by a tariff or rate schedule.  16 U.S.C. </w:t>
      </w:r>
      <w:r>
        <w:rPr>
          <w:rFonts w:cs="WP TypographicSymbols;Courier New" w:ascii="WP TypographicSymbols;Courier New" w:hAnsi="WP TypographicSymbols;Courier New"/>
        </w:rPr>
        <w:t>'</w:t>
      </w:r>
      <w:r>
        <w:rPr/>
        <w:t>824e(b) (1994).  In this proceeding, the earliest "refund effective date" available to California is October 2, 2000, which is the 60</w:t>
      </w:r>
      <w:r>
        <w:rPr>
          <w:vertAlign w:val="superscript"/>
        </w:rPr>
        <w:t>th</w:t>
      </w:r>
      <w:r>
        <w:rPr/>
        <w:t xml:space="preserve"> day after SDG&amp;E filed its complaint in Docket No. EL00-95-000 on August 3, 2000.  </w:t>
      </w:r>
      <w:r>
        <w:rPr>
          <w:i/>
        </w:rPr>
        <w:t>San Diego Gas &amp; Electric Co. v. Sellers of Energy and Ancillary Services</w:t>
      </w:r>
      <w:r>
        <w:rPr/>
        <w:t xml:space="preserve">, 92 F.E.R.C. </w:t>
      </w:r>
      <w:r>
        <w:rPr>
          <w:rFonts w:cs="WP TypographicSymbols;Courier New" w:ascii="WP TypographicSymbols;Courier New" w:hAnsi="WP TypographicSymbols;Courier New"/>
        </w:rPr>
        <w:t>&amp;</w:t>
      </w:r>
      <w:r>
        <w:rPr/>
        <w:t xml:space="preserve"> 61,172 at 61,608 (2000). The Commission is statutorily constrained from ordering refunds for any wholesale sales occurring before the refund effective date:  "At the conclusion of any proceeding under this section, the Commission may order the public utility to make such refunds of any amounts paid, for the period </w:t>
      </w:r>
      <w:r>
        <w:rPr>
          <w:i/>
        </w:rPr>
        <w:t>subsequent to the refund effective date</w:t>
      </w:r>
      <w:r>
        <w:rPr/>
        <w:t xml:space="preserve"> . . . ."  16  U.S.C. </w:t>
      </w:r>
      <w:r>
        <w:rPr>
          <w:rFonts w:cs="WP TypographicSymbols;Courier New" w:ascii="WP TypographicSymbols;Courier New" w:hAnsi="WP TypographicSymbols;Courier New"/>
        </w:rPr>
        <w:t>'</w:t>
      </w:r>
      <w:r>
        <w:rPr/>
        <w:t xml:space="preserve">824e(b); </w:t>
      </w:r>
      <w:r>
        <w:rPr>
          <w:i/>
        </w:rPr>
        <w:t>see Southwestern Electric Cooperative, Inc. v. Soyland Power Cooperative, Inc.,</w:t>
      </w:r>
      <w:r>
        <w:rPr/>
        <w:t xml:space="preserve"> 86 F.E.R.C. </w:t>
      </w:r>
      <w:r>
        <w:rPr>
          <w:rFonts w:cs="WP TypographicSymbols;Courier New" w:ascii="WP TypographicSymbols;Courier New" w:hAnsi="WP TypographicSymbols;Courier New"/>
        </w:rPr>
        <w:t>&amp;</w:t>
      </w:r>
      <w:r>
        <w:rPr/>
        <w:t xml:space="preserve"> 61,217 at 61,779 (1999)(where the Commission institutes an investigation on complaint under Section 206 of the FPA, the refund effective date is no earlier than 60 days after filing of the complaint, but no later than five months subsequent to the expiration of the 60-day period); </w:t>
      </w:r>
      <w:r>
        <w:rPr>
          <w:i/>
        </w:rPr>
        <w:t>Florida Power Corp.</w:t>
      </w:r>
      <w:r>
        <w:rPr/>
        <w:t xml:space="preserve">, 62 F.E.R.C. </w:t>
      </w:r>
      <w:r>
        <w:rPr>
          <w:rFonts w:cs="WP TypographicSymbols;Courier New" w:ascii="WP TypographicSymbols;Courier New" w:hAnsi="WP TypographicSymbols;Courier New"/>
        </w:rPr>
        <w:t>&amp;</w:t>
      </w:r>
      <w:r>
        <w:rPr/>
        <w:t xml:space="preserve"> 61,151 at 62,073 (1993)(same).  Any claim by any claimant for refunds on sales occurring before October 2, 2000, therefore, are barred.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 xml:space="preserve">In addition, California's refund claim seeks a refund of amounts owed in bilateral transactions that did not take place through the state's two administered markets, CAISO or the CalPX.  For example, bilateral sales involving California delivered products or deals in other Western power markets, which have not been found to be unjust or unreasonable and are thus not subject to refund.  Refund claims in connection with all such transactions have no legal basis and should be rejected.  </w:t>
        <w:tab/>
        <w:t>This exclusion should apply to all transactions of the CDWR that were not made through the CAISO.  In addition, all CAISO Out-of-Market ("OOM") transactions should not be subject to refund.  OOM transactions are bilateral deals between the CAISO staff and a market participant, not the result of a bid in the centralized markets.  Even the CAISO calls OOM purchases "market deals with Generators."  As importantly,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CAISO.  This left the CAISO to buy up to 10,000 MW of power in real-time.  This procurement was undertaken presumably to lower the utilities total procurement bill, but instead led to an over-dependence on the real-time markets, subjecting the utilities to high levels of price volatility and reliability risks.</w:t>
      </w:r>
      <w:r>
        <w:rPr>
          <w:rStyle w:val="FootnoteCharacters"/>
          <w:rStyle w:val="FootnoteReference"/>
          <w:vertAlign w:val="superscript"/>
        </w:rPr>
        <w:footnoteReference w:id="9"/>
      </w:r>
      <w:r>
        <w:rPr/>
        <w:t xml:space="preserve"> In its December 15 Order, the Commission ordered the utilities to stop underscheduling and that the ISO impose a penalty for any underscheduling exceeding five percent of the utility's load, but the ISO has not done so.  Second, the OOM transactions entered into this year continue to be related primarily to CDWR's argument with the California Utilities over who has the ultimate responsibility for the "net short."</w:t>
      </w:r>
      <w:r>
        <w:rPr>
          <w:rStyle w:val="FootnoteCharacters"/>
          <w:rStyle w:val="FootnoteReference"/>
          <w:vertAlign w:val="superscript"/>
        </w:rPr>
        <w:footnoteReference w:id="10"/>
      </w:r>
      <w:r>
        <w:rPr/>
        <w:t xml:space="preserve">  California was fully aware of these problems.  Now, instead of taking responsibility, they simply demand that alleged "pirates" and "profiteers" pay for their failures.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numPr>
          <w:ilvl w:val="0"/>
          <w:numId w:val="2"/>
        </w:numPr>
        <w:spacing w:lineRule="auto" w:line="480"/>
        <w:jc w:val="both"/>
        <w:rPr>
          <w:b/>
          <w:i/>
          <w:i/>
        </w:rPr>
      </w:pPr>
      <w:r>
        <w:rPr>
          <w:b/>
          <w:i/>
        </w:rPr>
        <w:t xml:space="preserve">Facts &amp; not "what if" scenarios must support any financial settlement with California </w:t>
      </w:r>
    </w:p>
    <w:p>
      <w:pPr>
        <w:pStyle w:val="Normal"/>
        <w:widowControl/>
        <w:spacing w:lineRule="auto" w:line="480"/>
        <w:ind w:firstLine="720" w:end="0"/>
        <w:jc w:val="both"/>
        <w:rPr/>
      </w:pPr>
      <w:r>
        <w:rPr/>
        <w:t>The Commission cannot order that a specific party make refunds without fact-based findings.  This is a very important point.  To assign blame to all market participants on some formulaic approach (</w:t>
      </w:r>
      <w:r>
        <w:rPr>
          <w:i/>
        </w:rPr>
        <w:t>e.g.</w:t>
      </w:r>
      <w:r>
        <w:rPr/>
        <w:t>, in proportion to megawatt-hours sold) would be arbitrary and highly inequitable.  Enron was a price-taker in most hours, meaning that we offered to sell into the CAISO or CalPX markets at whatever market-clearing price was calculated.  In addition, a fair analysis would need to examine how a specific market participant offered its product into the distinct markets (</w:t>
      </w:r>
      <w:r>
        <w:rPr>
          <w:i/>
        </w:rPr>
        <w:t>e.g</w:t>
      </w:r>
      <w:r>
        <w:rPr/>
        <w:t>., the ancillary services markets).  In this inquiry, it is not appropriate simply to determine that all megawatt-hours are the "same."  In fact, they are not.  CAISO's own data shows that the margins that suppliers to the California market earned on different energy products could differ dramatically, with the highest margins being earned on the sale of certain ancillary services.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 xml:space="preserve">California's claimed entitlement to refunds is based on a hypothetical analysis of CAISO employee, Dr. Eric Hildebrandt, for the CAISO Department of Market Analysis ("DMA").  In his analysis, Dr. Hildebrandt attempts to develop "competitive" proxy prices for each hour by imposing certain "what if" assumptions on past periods.  No seller being asked to make refunds on the basis of Dr. Hildebrandt's analysis has been provided a fair opportunity to understand and analyze his model, data, and methodology.  Nevertheless, California continues to parade the results from Dr. Hildebrandt's analysis around as if the results of his "what if" analysis were gospel.  At a minimum, Dr. Hildebrandt's analysis fails to consider California's administered market in the broader context of the Western power market.  The Commission is well aware that California is in many hours generation dependent </w:t>
      </w:r>
      <w:r>
        <w:rPr>
          <w:rFonts w:cs="WP TypographicSymbols;Courier New" w:ascii="WP TypographicSymbols;Courier New" w:hAnsi="WP TypographicSymbols;Courier New"/>
        </w:rPr>
        <w:t>C</w:t>
      </w:r>
      <w:r>
        <w:rPr/>
        <w:t xml:space="preserve"> incapable of supplying 100% of its load.  To deal with the hard issues inherent in this import requirement, Dr. Hildebrandt assumes that for all hours a thermal unit inside of the state will be the price-setting unit.  That is not a tenable assumption.  For at least some hours, the CAISO market-clearing price was established by the Western power markets and transmission costs.  Dr. Hildebrandt's contrary assumption lowers his competitive proxy price and inflates his allegation of overcharges subject to refund.</w:t>
      </w:r>
      <w:r>
        <w:rPr>
          <w:rStyle w:val="FootnoteCharacters"/>
          <w:rStyle w:val="FootnoteReference"/>
          <w:vertAlign w:val="superscript"/>
        </w:rPr>
        <w:footnoteReference w:id="11"/>
      </w:r>
      <w:r>
        <w:rPr/>
        <w:t xml:space="preserve">  </w:t>
      </w:r>
    </w:p>
    <w:p>
      <w:pPr>
        <w:pStyle w:val="Normal"/>
        <w:widowControl/>
        <w:spacing w:lineRule="auto" w:line="480"/>
        <w:ind w:firstLine="720" w:end="0"/>
        <w:jc w:val="both"/>
        <w:rPr/>
      </w:pPr>
      <w:r>
        <w:rPr/>
        <w:t xml:space="preserve">In short, trying to piece together a "competitive" market result based on the operating cost of a specific, marginal generator, as Dr. Hildebrandt proposes, does not provide a reliable proxy for a competitive market.  Instead of following Dr. Hildebrandt down that rabbit warren, the Commission would deploy its resources more wisely in an examination to determine if at any time after October 2, 2000, any party exhibited and abused market power.  If the Commission finds such abuse, then the guilty party should be obligated to provide appropriate refunds. Any refund order that does not consider the market realities confronted by different suppliers will simply invite litigation and will not move California forward. </w:t>
      </w:r>
    </w:p>
    <w:p>
      <w:pPr>
        <w:pStyle w:val="Normal"/>
        <w:widowControl/>
        <w:tabs>
          <w:tab w:val="clear" w:pos="720"/>
          <w:tab w:val="left" w:pos="-1440" w:leader="none"/>
        </w:tabs>
        <w:spacing w:lineRule="auto" w:line="480"/>
        <w:ind w:hanging="720" w:start="1440" w:end="0"/>
        <w:jc w:val="both"/>
        <w:rPr>
          <w:b/>
          <w:i/>
          <w:i/>
          <w:sz w:val="26"/>
        </w:rPr>
      </w:pPr>
      <w:r>
        <w:rPr>
          <w:b/>
          <w:i/>
          <w:sz w:val="26"/>
        </w:rPr>
        <w:t>D.</w:t>
        <w:tab/>
        <w:t>Any Refund Order Must Put an End to all Claims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The Commission's finding in the December 15 order that the California administered centralized clearinghouse markets has produced unjust and unreasonable prices is the cornerstone of both the refunds claimed in this proceeding and the claims for damages and other forms of compensation that are being sought in many other fora.  It is unreasonable to expect California power suppliers, such as Enron, to agree to a financial settlement in this administrative proceeding that fails to extinguish the Commission's finding in the December 15 order and all claims stemming from it.  In connection with any financial resolution that the Commission orders, pursuant to settlement or otherwise, it is thus imperative that the Commission accompany that resolution with findings that implementation of the financial resolution that is ordered renders all charges for power wholesale sales into California during past periods to be just and reasonable.  Without this assurance, Enron and the other suppliers have no reason to acquiesce in a financial settlement to resolve California's power crisis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In their public statements during the settlement negotiations, the California parties have repeatedly acknowledged that this Commission alone has exclusive jurisdiction to determine just and reasonable rates for wholesale sales of electric energy.  Because of the finding in the December 15 Order, however, there are now plaintiffs lawyers in various civil suits and state authorities in various investigations seeking in one form or another to change the prices that were charged in the past for wholesale sales of power into California.  Enron agrees with the California parties that this Commission alone has this authority.  If the Commission decides to reset past prices through refunds in this proceeding, it must also accept its responsibility to accompany that decision with a clear statement that the Commission alone regulates wholesale prices; that it has done so for all sales into California; and that all of the prices that it has authorized are just and reasonable.  If the Commission does anything less, then it will be losing a singular opportunity to put to rest all of the calamity and recriminations that have ensued from California's ill-fated plan to restructure its power industry and this Commission's approval of that plan.</w:t>
      </w:r>
    </w:p>
    <w:p>
      <w:pPr>
        <w:pStyle w:val="Normal"/>
        <w:widowControl/>
        <w:tabs>
          <w:tab w:val="clear" w:pos="720"/>
          <w:tab w:val="left" w:pos="-1440" w:leader="none"/>
        </w:tabs>
        <w:ind w:hanging="720" w:start="1440" w:end="0"/>
        <w:jc w:val="both"/>
        <w:rPr>
          <w:b/>
          <w:i/>
          <w:i/>
          <w:sz w:val="26"/>
        </w:rPr>
      </w:pPr>
      <w:r>
        <w:rPr>
          <w:b/>
          <w:i/>
          <w:sz w:val="26"/>
        </w:rPr>
        <w:t>E.</w:t>
        <w:tab/>
        <w:t>Any Settlement Must Ensure that Suppliers to California Get Paid</w:t>
      </w:r>
    </w:p>
    <w:p>
      <w:pPr>
        <w:pStyle w:val="Normal"/>
        <w:widowControl/>
        <w:jc w:val="both"/>
        <w:rPr/>
      </w:pPr>
      <w:r>
        <w:rPr/>
      </w:r>
    </w:p>
    <w:p>
      <w:pPr>
        <w:pStyle w:val="Normal"/>
        <w:widowControl/>
        <w:spacing w:lineRule="auto" w:line="480"/>
        <w:ind w:firstLine="720" w:end="0"/>
        <w:jc w:val="both"/>
        <w:rPr/>
      </w:pPr>
      <w:r>
        <w:rPr/>
        <w:t>While owing Suppliers multiple billions of dollars, California claims, based on a hypothetical analysis, that it is owed $8.9 billion in refunds.  If there is to be a financial settlement of California’s claims, there must be a concurrent accounting for and settlement of California's debts to Enron and the others who have supplied it with natural gas and electricity.  Any account receivable held against any California Utility by parties to this Settlement must be included in the resolution.</w:t>
      </w:r>
      <w:r>
        <w:rPr>
          <w:rStyle w:val="FootnoteCharacters"/>
          <w:rStyle w:val="FootnoteReference"/>
          <w:vertAlign w:val="superscript"/>
        </w:rPr>
        <w:footnoteReference w:id="12"/>
      </w:r>
      <w:r>
        <w:rPr/>
        <w:t xml:space="preserve">  In addition, if refunds are to be ordered, then all buyers from the CAISO and CalPX markets (which includes Enron and some other suppliers) must receive their rightful share of the ordered refunds.  California assumes that it is the sole buyer, but that is far from the truth.  Enron has been a net buyer to fulfill its obligations as an ESP.  Enron is entitled to refunds under any refund order, including the CAISO's methodology.</w:t>
      </w:r>
    </w:p>
    <w:p>
      <w:pPr>
        <w:pStyle w:val="Normal"/>
        <w:widowControl/>
        <w:jc w:val="both"/>
        <w:rPr/>
      </w:pPr>
      <w:r>
        <w:rPr/>
      </w:r>
    </w:p>
    <w:p>
      <w:pPr>
        <w:pStyle w:val="Normal"/>
        <w:widowControl/>
        <w:tabs>
          <w:tab w:val="clear" w:pos="720"/>
          <w:tab w:val="center" w:pos="4680" w:leader="none"/>
        </w:tabs>
        <w:jc w:val="both"/>
        <w:rPr>
          <w:b/>
          <w:sz w:val="28"/>
          <w:u w:val="single"/>
        </w:rPr>
      </w:pPr>
      <w:r>
        <w:rPr/>
        <w:tab/>
      </w:r>
      <w:r>
        <w:rPr>
          <w:b/>
          <w:sz w:val="28"/>
        </w:rPr>
        <w:t>III.</w:t>
      </w:r>
    </w:p>
    <w:p>
      <w:pPr>
        <w:pStyle w:val="Normal"/>
        <w:widowControl/>
        <w:tabs>
          <w:tab w:val="clear" w:pos="720"/>
          <w:tab w:val="center" w:pos="4680" w:leader="none"/>
        </w:tabs>
        <w:jc w:val="both"/>
        <w:rPr/>
      </w:pPr>
      <w:r>
        <w:rPr>
          <w:b/>
          <w:sz w:val="28"/>
        </w:rPr>
        <w:tab/>
      </w:r>
      <w:r>
        <w:rPr>
          <w:b/>
          <w:sz w:val="28"/>
          <w:u w:val="single"/>
        </w:rPr>
        <w:t>CONCLUSION</w:t>
      </w:r>
    </w:p>
    <w:p>
      <w:pPr>
        <w:pStyle w:val="Normal"/>
        <w:widowControl/>
        <w:jc w:val="both"/>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t>Enron asks the Commission to take into account the foregoing considerations when evaluating the Recommendation.  In particular, Enron asks the Commission to weigh the California parties' claims that they are entitled to refunds for past power sales against the facts that: (1) California's distress was caused by the decisions of its political leaders and not by power suppliers; (2) California's plight has been exacerbated by its defiance of this Commission's orders; (3) California's estimates of overcharges are based on unsubstantiated theories and assumption that understate proxy competitive prices and inflate alleged refund liability.  If, after this weighing, the Commission determines that some financial settlement is in order, Enron asks the Commission to implement that settlement in a manner that resolves all of the civil litigations and investigations that have grown out of the Commission's December 15 Order and concurrently accounts for and settles all amounts that California owes to Enron and the state's other power suppliers.</w:t>
        <w:tab/>
        <w:tab/>
        <w:tab/>
        <w:tab/>
        <w:tab/>
        <w:tab/>
        <w:tab/>
        <w:tab/>
        <w:tab/>
        <w:t>Respectfully Submitted,</w:t>
      </w:r>
    </w:p>
    <w:p>
      <w:pPr>
        <w:pStyle w:val="Normal"/>
        <w:widowControl/>
        <w:spacing w:lineRule="auto" w:line="480"/>
        <w:jc w:val="both"/>
        <w:rPr/>
      </w:pPr>
      <w:r>
        <w:rPr/>
      </w:r>
    </w:p>
    <w:p>
      <w:pPr>
        <w:pStyle w:val="Normal"/>
        <w:widowControl/>
        <w:ind w:firstLine="4320" w:end="0"/>
        <w:jc w:val="both"/>
        <w:rPr/>
      </w:pPr>
      <w:r>
        <w:rPr/>
        <w:t>_________________</w:t>
      </w:r>
    </w:p>
    <w:p>
      <w:pPr>
        <w:pStyle w:val="Normal"/>
        <w:widowControl/>
        <w:ind w:firstLine="4320" w:end="0"/>
        <w:jc w:val="both"/>
        <w:rPr/>
      </w:pPr>
      <w:r>
        <w:rPr/>
        <w:t>Jeffrey D. Watkiss</w:t>
      </w:r>
    </w:p>
    <w:p>
      <w:pPr>
        <w:pStyle w:val="Normal"/>
        <w:widowControl/>
        <w:ind w:firstLine="4320" w:end="0"/>
        <w:jc w:val="both"/>
        <w:rPr/>
      </w:pPr>
      <w:r>
        <w:rPr/>
        <w:t>Bracewell &amp; Patterson, L.L.P.</w:t>
      </w:r>
    </w:p>
    <w:p>
      <w:pPr>
        <w:pStyle w:val="Normal"/>
        <w:widowControl/>
        <w:ind w:firstLine="4320" w:end="0"/>
        <w:jc w:val="both"/>
        <w:rPr/>
      </w:pPr>
      <w:r>
        <w:rPr/>
        <w:t>2000 K Street, N.W.</w:t>
      </w:r>
    </w:p>
    <w:p>
      <w:pPr>
        <w:pStyle w:val="Normal"/>
        <w:widowControl/>
        <w:ind w:firstLine="4320" w:end="0"/>
        <w:jc w:val="both"/>
        <w:rPr/>
      </w:pPr>
      <w:r>
        <w:rPr/>
        <w:t>Suite 500</w:t>
      </w:r>
    </w:p>
    <w:p>
      <w:pPr>
        <w:pStyle w:val="Normal"/>
        <w:widowControl/>
        <w:ind w:firstLine="4320" w:end="0"/>
        <w:jc w:val="both"/>
        <w:rPr/>
      </w:pPr>
      <w:r>
        <w:rPr/>
        <w:t>Washington, DC   20006-1872</w:t>
      </w:r>
    </w:p>
    <w:p>
      <w:pPr>
        <w:pStyle w:val="Normal"/>
        <w:widowControl/>
        <w:ind w:firstLine="4320" w:end="0"/>
        <w:jc w:val="both"/>
        <w:rPr/>
      </w:pPr>
      <w:r>
        <w:rPr/>
        <w:t>(202) 828-5800</w:t>
      </w:r>
    </w:p>
    <w:p>
      <w:pPr>
        <w:pStyle w:val="Normal"/>
        <w:widowControl/>
        <w:jc w:val="both"/>
        <w:rPr/>
      </w:pPr>
      <w:r>
        <w:rPr/>
      </w:r>
    </w:p>
    <w:p>
      <w:pPr>
        <w:pStyle w:val="Normal"/>
        <w:widowControl/>
        <w:ind w:start="4320" w:end="0"/>
        <w:jc w:val="both"/>
        <w:rPr/>
      </w:pPr>
      <w:r>
        <w:rPr/>
        <w:t>Attorney for Enron Power Marketing, Inc. and Enron     Energy Services</w:t>
      </w:r>
    </w:p>
    <w:p>
      <w:pPr>
        <w:pStyle w:val="Normal"/>
        <w:widowControl/>
        <w:jc w:val="both"/>
        <w:rPr/>
      </w:pPr>
      <w:r>
        <w:rPr/>
      </w:r>
    </w:p>
    <w:p>
      <w:pPr>
        <w:pStyle w:val="Normal"/>
        <w:widowControl/>
        <w:jc w:val="both"/>
        <w:rPr/>
      </w:pPr>
      <w:r>
        <w:rPr/>
        <w:t>July 9, 2001</w:t>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WP TypographicSymbols">
    <w:altName w:val="Courier New"/>
    <w:charset w:val="00" w:characterSet="windows-1252"/>
    <w:family w:val="auto"/>
    <w:pitch w:val="variable"/>
  </w:font>
  <w:font w:name="CG Times">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Enron-owned companies have interests in qualifying facilities (primarily wind facilities) under the Public Utility Regulatory Policies Act of 1978.  These facilities sell virtually all of their output under long-term contracts to California utilities.</w:t>
      </w:r>
    </w:p>
  </w:footnote>
  <w:footnote w:id="3">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Enron Power Marketing, Inc.</w:t>
      </w:r>
      <w:r>
        <w:rPr>
          <w:rFonts w:cs="CG Times;Times New Roman" w:ascii="CG Times;Times New Roman" w:hAnsi="CG Times;Times New Roman"/>
          <w:sz w:val="22"/>
        </w:rPr>
        <w:t xml:space="preserve">, 65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61,305 (1993), </w:t>
      </w:r>
      <w:r>
        <w:rPr>
          <w:rFonts w:cs="CG Times;Times New Roman" w:ascii="CG Times;Times New Roman" w:hAnsi="CG Times;Times New Roman"/>
          <w:i/>
          <w:sz w:val="22"/>
        </w:rPr>
        <w:t>order on reh'g</w:t>
      </w:r>
      <w:r>
        <w:rPr>
          <w:rFonts w:cs="CG Times;Times New Roman" w:ascii="CG Times;Times New Roman" w:hAnsi="CG Times;Times New Roman"/>
          <w:sz w:val="22"/>
        </w:rPr>
        <w:t xml:space="preserve">, 66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61,244 (1994); </w:t>
      </w:r>
      <w:r>
        <w:rPr>
          <w:rFonts w:cs="CG Times;Times New Roman" w:ascii="CG Times;Times New Roman" w:hAnsi="CG Times;Times New Roman"/>
          <w:i/>
          <w:sz w:val="22"/>
        </w:rPr>
        <w:t>Enron Energy Services, Inc.</w:t>
      </w:r>
      <w:r>
        <w:rPr>
          <w:rFonts w:cs="CG Times;Times New Roman" w:ascii="CG Times;Times New Roman" w:hAnsi="CG Times;Times New Roman"/>
          <w:sz w:val="22"/>
        </w:rPr>
        <w:t xml:space="preserve">, 81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61,267 (1997).</w:t>
      </w:r>
    </w:p>
  </w:footnote>
  <w:footnote w:id="4">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 xml:space="preserve">Additionally, the Commission accepted EPMI's subsequent revisions to its Rate Schedule FERC No. 1 to sell ancillary services at market-based rates in California.  </w:t>
      </w:r>
      <w:r>
        <w:rPr>
          <w:rFonts w:cs="CG Times;Times New Roman" w:ascii="CG Times;Times New Roman" w:hAnsi="CG Times;Times New Roman"/>
          <w:i/>
          <w:sz w:val="22"/>
        </w:rPr>
        <w:t>See</w:t>
      </w:r>
      <w:r>
        <w:rPr>
          <w:rFonts w:cs="CG Times;Times New Roman" w:ascii="CG Times;Times New Roman" w:hAnsi="CG Times;Times New Roman"/>
          <w:sz w:val="22"/>
        </w:rPr>
        <w:t xml:space="preserve"> </w:t>
      </w:r>
      <w:r>
        <w:rPr>
          <w:rFonts w:cs="CG Times;Times New Roman" w:ascii="CG Times;Times New Roman" w:hAnsi="CG Times;Times New Roman"/>
          <w:i/>
          <w:sz w:val="22"/>
        </w:rPr>
        <w:t>Enron Power Marketing, Inc.</w:t>
      </w:r>
      <w:r>
        <w:rPr>
          <w:rFonts w:cs="CG Times;Times New Roman" w:ascii="CG Times;Times New Roman" w:hAnsi="CG Times;Times New Roman"/>
          <w:sz w:val="22"/>
        </w:rPr>
        <w:t>, Letter Order, Docket No. ER00-497-000 (issued Dec. 6, 1999).</w:t>
      </w:r>
    </w:p>
  </w:footnote>
  <w:footnote w:id="5">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See</w:t>
      </w:r>
      <w:r>
        <w:rPr>
          <w:rFonts w:cs="CG Times;Times New Roman" w:ascii="CG Times;Times New Roman" w:hAnsi="CG Times;Times New Roman"/>
          <w:sz w:val="22"/>
        </w:rPr>
        <w:t xml:space="preserve"> California Legislature's Assembly Bill 1890 ("AB 1890"), effective Sept. 23, 1996</w:t>
      </w:r>
      <w:r>
        <w:rPr>
          <w:sz w:val="22"/>
        </w:rPr>
        <w:t xml:space="preserve">; </w:t>
      </w:r>
      <w:r>
        <w:rPr>
          <w:rFonts w:cs="CG Times;Times New Roman" w:ascii="CG Times;Times New Roman" w:hAnsi="CG Times;Times New Roman"/>
          <w:i/>
          <w:sz w:val="22"/>
        </w:rPr>
        <w:t>see also 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61,121 at 61,383 (2000)(concluding that flawed market rules and flawed market structure allow the exercise of market power that must be effectively mitigated and citing preliminary report prepared by PX finding price spikes caused by flawed market structures and an insufficient supply of power, rather than gaming by market participants).  </w:t>
      </w:r>
      <w:r>
        <w:rPr>
          <w:rFonts w:cs="CG Times;Times New Roman" w:ascii="CG Times;Times New Roman" w:hAnsi="CG Times;Times New Roman"/>
          <w:i/>
          <w:sz w:val="22"/>
        </w:rPr>
        <w:t>See also</w:t>
      </w:r>
      <w:r>
        <w:rPr>
          <w:rFonts w:cs="CG Times;Times New Roman" w:ascii="CG Times;Times New Roman" w:hAnsi="CG Times;Times New Roman"/>
          <w:sz w:val="22"/>
        </w:rPr>
        <w:t xml:space="preserve">  </w:t>
      </w:r>
      <w:r>
        <w:rPr>
          <w:rFonts w:cs="CG Times;Times New Roman" w:ascii="CG Times;Times New Roman" w:hAnsi="CG Times;Times New Roman"/>
          <w:i/>
          <w:sz w:val="22"/>
        </w:rPr>
        <w:t>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61,294 at 61,984 (2000)(concluding that "electric market structure and market rules for wholesale sales of electric energy in California were seriously flawed," and that the "record does not support findings of specific exercises of market power . . . .").</w:t>
      </w:r>
    </w:p>
  </w:footnote>
  <w:footnote w:id="6">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 xml:space="preserve">See Pacific Gas and Electric Company, </w:t>
      </w:r>
      <w:r>
        <w:rPr>
          <w:rFonts w:cs="CG Times;Times New Roman" w:ascii="CG Times;Times New Roman" w:hAnsi="CG Times;Times New Roman"/>
          <w:sz w:val="22"/>
        </w:rPr>
        <w:t xml:space="preserve">95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61,273,(2001) (stating PG&amp;E filed for Chapter 11 bankruptcy protection on April 6, 2001).</w:t>
      </w:r>
    </w:p>
  </w:footnote>
  <w:footnote w:id="7">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See, e.g., 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61,294 at 61,982, 61,993, and 61,999 (2000)(stating that the CPUC should allow IOUs to move their power purchase needs to bilateral long-term contracts instead of mandatory exposure to the spot market and states that states that as long as the California Commission continues to require (either directly or indirectly) the IOUs to sell or purchase the bulk of their needs from the PX, volatile short-term energy prices will continue to engulf the market).</w:t>
      </w:r>
    </w:p>
  </w:footnote>
  <w:footnote w:id="8">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See 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95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61,418 (2001)(extending mitigation plan to cover spot markets in California and throughout the West); </w:t>
      </w:r>
      <w:r>
        <w:rPr>
          <w:rFonts w:cs="CG Times;Times New Roman" w:ascii="CG Times;Times New Roman" w:hAnsi="CG Times;Times New Roman"/>
          <w:i/>
          <w:sz w:val="22"/>
        </w:rPr>
        <w:t>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95 F.E.R.C. 61,275 (2001)(clarifying and providing guidance on implementation of mitigation and monitoring plan for the California wholesale electric markets); </w:t>
      </w:r>
      <w:r>
        <w:rPr>
          <w:rFonts w:cs="CG Times;Times New Roman" w:ascii="CG Times;Times New Roman" w:hAnsi="CG Times;Times New Roman"/>
          <w:i/>
          <w:sz w:val="22"/>
        </w:rPr>
        <w:t>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95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61,115 (2001)(establishing prospective mitigation and monitoring plan for the California wholesale electric markets)</w:t>
      </w:r>
      <w:r>
        <w:rPr>
          <w:rFonts w:cs="CG Times;Times New Roman" w:ascii="CG Times;Times New Roman" w:hAnsi="CG Times;Times New Roman"/>
          <w:i/>
          <w:sz w:val="22"/>
        </w:rPr>
        <w:t xml:space="preserve"> San Diego Gas &amp; Electric Company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Courier New" w:ascii="WP TypographicSymbols;Courier New" w:hAnsi="WP TypographicSymbols;Courier New"/>
          <w:sz w:val="22"/>
        </w:rPr>
        <w:t>&amp;</w:t>
      </w:r>
      <w:r>
        <w:rPr>
          <w:rFonts w:cs="CG Times;Times New Roman" w:ascii="CG Times;Times New Roman" w:hAnsi="CG Times;Times New Roman"/>
          <w:sz w:val="22"/>
        </w:rPr>
        <w:t xml:space="preserve"> 61,294 (2000)(directing remedies for California wholesale electric markets, including price mitigation).</w:t>
      </w:r>
    </w:p>
  </w:footnote>
  <w:footnote w:id="9">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 xml:space="preserve">Even CAISO's Department of Market Analysis recognized this risk.  </w:t>
      </w:r>
      <w:r>
        <w:rPr>
          <w:rFonts w:cs="CG Times;Times New Roman" w:ascii="CG Times;Times New Roman" w:hAnsi="CG Times;Times New Roman"/>
          <w:i/>
          <w:sz w:val="22"/>
        </w:rPr>
        <w:t>See, e.g.,</w:t>
      </w:r>
      <w:r>
        <w:rPr>
          <w:rFonts w:cs="CG Times;Times New Roman" w:ascii="CG Times;Times New Roman" w:hAnsi="CG Times;Times New Roman"/>
          <w:sz w:val="22"/>
        </w:rPr>
        <w:t xml:space="preserve"> Anjali Sheffrin, </w:t>
      </w:r>
      <w:r>
        <w:rPr>
          <w:rFonts w:cs="CG Times;Times New Roman" w:ascii="CG Times;Times New Roman" w:hAnsi="CG Times;Times New Roman"/>
          <w:i/>
          <w:sz w:val="22"/>
        </w:rPr>
        <w:t>Issues under Review and Analysis</w:t>
      </w:r>
      <w:r>
        <w:rPr>
          <w:rFonts w:cs="CG Times;Times New Roman" w:ascii="CG Times;Times New Roman" w:hAnsi="CG Times;Times New Roman"/>
          <w:sz w:val="22"/>
        </w:rPr>
        <w:t xml:space="preserve"> (Sept. 2000) (www.caiso.com/docs/2001/03/27/200102271243153158.pdf). </w:t>
      </w:r>
    </w:p>
  </w:footnote>
  <w:footnote w:id="10">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The "net short" is the amount of energy in addition to the three investor-owned utilities' generation and purchased power that is needed to meet California's load.  CDWR has the responsibility pursuant to California state law to meet fully the "net short".</w:t>
      </w:r>
    </w:p>
  </w:footnote>
  <w:footnote w:id="11">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The one expert to analyze Dr. Hildebrandt's methodology in detail, PowerEx's witness, Dr. Tabors, found that all of Dr. Hildebrant's "what if" assumptions had the effect of inflating alleged overcharges and refund liability by understating the proxy competitive market price against which Dr. Hildebrandt compared actual prices.</w:t>
      </w:r>
    </w:p>
  </w:footnote>
  <w:footnote w:id="12">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Pursuant to a CPUC approved tariff, both SCE and PG&amp;E owe EES significant amounts related to the PX Credit and are included in this element.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2160"/>
        </w:tabs>
        <w:ind w:start="2160" w:hanging="1440"/>
      </w:pPr>
      <w:rPr/>
    </w:lvl>
  </w:abstractNum>
  <w:abstractNum w:abstractNumId="3">
    <w:lvl w:ilvl="0">
      <w:start w:val="2"/>
      <w:numFmt w:val="upperLetter"/>
      <w:lvlText w:val="%1."/>
      <w:lvlJc w:val="start"/>
      <w:pPr>
        <w:tabs>
          <w:tab w:val="num" w:pos="1080"/>
        </w:tabs>
        <w:ind w:start="1080" w:hanging="360"/>
      </w:pPr>
      <w:rPr/>
    </w:lvl>
    <w:lvl w:ilvl="1">
      <w:start w:val="1"/>
      <w:numFmt w:val="decimal"/>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jc w:val="both"/>
      <w:outlineLvl w:val="0"/>
    </w:pPr>
    <w:rPr>
      <w:b/>
      <w:i/>
      <w:sz w:val="26"/>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uto" w:line="480"/>
      <w:jc w:val="both"/>
    </w:pPr>
    <w:rPr>
      <w:szCs w:val="24"/>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2001-07-10T19:41:00Z</dcterms:created>
  <dc:creator>Bracewell &amp; Patterson, L.L.P.</dc:creator>
  <dc:description/>
  <dc:language>en-CA</dc:language>
  <cp:lastModifiedBy>rfrank</cp:lastModifiedBy>
  <dcterms:modified xsi:type="dcterms:W3CDTF">2001-07-10T19:41:00Z</dcterms:modified>
  <cp:revision>2</cp:revision>
  <dc:subject/>
  <dc:title>UNITED STATES OF AMERICA</dc:title>
</cp:coreProperties>
</file>