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sz w:val="22"/>
        </w:rPr>
      </w:pPr>
      <w:r>
        <w:rPr>
          <w:rFonts w:cs="Arial" w:ascii="Arial" w:hAnsi="Arial"/>
          <w:b/>
          <w:bCs/>
          <w:sz w:val="22"/>
        </w:rPr>
        <w:t>ENRON, WASHINGTON</w:t>
      </w:r>
    </w:p>
    <w:p>
      <w:pPr>
        <w:pStyle w:val="Heading3"/>
        <w:ind w:hanging="0" w:start="0"/>
        <w:rPr>
          <w:bCs/>
        </w:rPr>
      </w:pPr>
      <w:r>
        <w:rPr>
          <w:bCs/>
        </w:rPr>
        <w:t>MEMORANDUM</w:t>
      </w:r>
    </w:p>
    <w:p>
      <w:pPr>
        <w:pStyle w:val="Normal"/>
        <w:rPr>
          <w:rFonts w:ascii="Arial" w:hAnsi="Arial" w:cs="Arial"/>
          <w:bCs/>
          <w:sz w:val="22"/>
        </w:rPr>
      </w:pPr>
      <w:r>
        <w:rPr>
          <w:rFonts w:cs="Arial" w:ascii="Arial" w:hAnsi="Arial"/>
          <w:bCs/>
          <w:sz w:val="22"/>
        </w:rPr>
      </w:r>
    </w:p>
    <w:p>
      <w:pPr>
        <w:pStyle w:val="Normal"/>
        <w:rPr>
          <w:rFonts w:ascii="Arial" w:hAnsi="Arial" w:cs="Arial"/>
          <w:sz w:val="22"/>
        </w:rPr>
      </w:pPr>
      <w:r>
        <w:rPr>
          <w:rFonts w:cs="Arial" w:ascii="Arial" w:hAnsi="Arial"/>
          <w:sz w:val="22"/>
        </w:rPr>
        <w:t>TO:</w:t>
        <w:tab/>
        <w:tab/>
        <w:t>Steve Kean</w:t>
      </w:r>
    </w:p>
    <w:p>
      <w:pPr>
        <w:pStyle w:val="Normal"/>
        <w:ind w:hanging="1440" w:start="1440" w:end="0"/>
        <w:rPr>
          <w:rFonts w:ascii="Arial" w:hAnsi="Arial" w:cs="Arial"/>
          <w:sz w:val="22"/>
        </w:rPr>
      </w:pPr>
      <w:r>
        <w:rPr>
          <w:rFonts w:cs="Arial" w:ascii="Arial" w:hAnsi="Arial"/>
          <w:sz w:val="22"/>
        </w:rPr>
        <w:t>FROM:</w:t>
        <w:tab/>
        <w:t>Linda Robertson, Tom Briggs, Cynthia Sandherr, Joe Hillings, Chris Long, and Steve Burns</w:t>
      </w:r>
    </w:p>
    <w:p>
      <w:pPr>
        <w:pStyle w:val="Normal"/>
        <w:rPr>
          <w:rFonts w:ascii="Arial" w:hAnsi="Arial" w:cs="Arial"/>
          <w:sz w:val="22"/>
        </w:rPr>
      </w:pPr>
      <w:r>
        <w:rPr>
          <w:rFonts w:cs="Arial" w:ascii="Arial" w:hAnsi="Arial"/>
          <w:sz w:val="22"/>
        </w:rPr>
        <w:t>DATE:</w:t>
        <w:tab/>
        <w:tab/>
        <w:t>January 4, 2001</w:t>
      </w:r>
    </w:p>
    <w:p>
      <w:pPr>
        <w:pStyle w:val="Normal"/>
        <w:rPr/>
      </w:pPr>
      <w:r>
        <w:rPr>
          <w:rFonts w:cs="Arial" w:ascii="Arial" w:hAnsi="Arial"/>
          <w:sz w:val="22"/>
        </w:rPr>
        <w:t>RE:</w:t>
        <w:tab/>
        <w:tab/>
      </w:r>
      <w:r>
        <w:rPr>
          <w:rFonts w:cs="Arial" w:ascii="Arial" w:hAnsi="Arial"/>
          <w:b/>
          <w:bCs/>
          <w:sz w:val="22"/>
        </w:rPr>
        <w:t>Federal Government Affairs</w:t>
      </w:r>
    </w:p>
    <w:p>
      <w:pPr>
        <w:pStyle w:val="Normal"/>
        <w:ind w:firstLine="720" w:start="720" w:end="0"/>
        <w:rPr>
          <w:rFonts w:ascii="Arial" w:hAnsi="Arial" w:cs="Arial"/>
          <w:sz w:val="22"/>
        </w:rPr>
      </w:pPr>
      <w:r>
        <w:rPr>
          <w:rFonts w:cs="Arial" w:ascii="Arial" w:hAnsi="Arial"/>
          <w:b/>
          <w:bCs/>
          <w:sz w:val="22"/>
        </w:rPr>
        <w:t>2000 Accomplishments</w:t>
      </w:r>
    </w:p>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b/>
          <w:bCs/>
          <w:sz w:val="22"/>
          <w:u w:val="single"/>
        </w:rPr>
        <w:t>Overview</w:t>
      </w:r>
    </w:p>
    <w:p>
      <w:pPr>
        <w:pStyle w:val="Normal"/>
        <w:jc w:val="center"/>
        <w:rPr>
          <w:rFonts w:ascii="Arial" w:hAnsi="Arial" w:cs="Arial"/>
          <w:sz w:val="22"/>
        </w:rPr>
      </w:pPr>
      <w:r>
        <w:rPr>
          <w:rFonts w:cs="Arial" w:ascii="Arial" w:hAnsi="Arial"/>
          <w:sz w:val="22"/>
        </w:rPr>
      </w:r>
    </w:p>
    <w:p>
      <w:pPr>
        <w:pStyle w:val="BodyText3"/>
        <w:spacing w:lineRule="auto" w:line="240"/>
        <w:rPr/>
      </w:pPr>
      <w:r>
        <w:rPr>
          <w:rFonts w:cs="Arial"/>
          <w:szCs w:val="24"/>
        </w:rPr>
        <w:t>Despite the perceived lack of Congressional activity during the 106</w:t>
      </w:r>
      <w:r>
        <w:rPr>
          <w:rFonts w:cs="Arial"/>
          <w:szCs w:val="24"/>
          <w:vertAlign w:val="superscript"/>
        </w:rPr>
        <w:t>th</w:t>
      </w:r>
      <w:r>
        <w:rPr>
          <w:rFonts w:cs="Arial"/>
          <w:szCs w:val="24"/>
        </w:rPr>
        <w:t xml:space="preserve"> Congress and the waning days of the Clinton Administration, this has been one of the most active and successful years for the Enron Washington Federal Affairs office.  The office participated in a number of successful efforts, listed below, that have substantially advanced Enron’s domestic and global commercial interests.</w:t>
      </w:r>
    </w:p>
    <w:p>
      <w:pPr>
        <w:pStyle w:val="Normal"/>
        <w:rPr>
          <w:rFonts w:ascii="Arial" w:hAnsi="Arial" w:cs="Arial"/>
          <w:sz w:val="22"/>
          <w:szCs w:val="24"/>
        </w:rPr>
      </w:pPr>
      <w:r>
        <w:rPr>
          <w:rFonts w:cs="Arial" w:ascii="Arial" w:hAnsi="Arial"/>
          <w:sz w:val="22"/>
          <w:szCs w:val="24"/>
        </w:rPr>
      </w:r>
    </w:p>
    <w:p>
      <w:pPr>
        <w:pStyle w:val="Heading4"/>
        <w:ind w:hanging="0" w:start="0"/>
        <w:rPr/>
      </w:pPr>
      <w:r>
        <w:rPr/>
        <w:t>Leading Issues in 2000</w:t>
      </w:r>
    </w:p>
    <w:p>
      <w:pPr>
        <w:pStyle w:val="Normal"/>
        <w:jc w:val="center"/>
        <w:rPr>
          <w:rFonts w:ascii="Arial" w:hAnsi="Arial" w:cs="Arial"/>
          <w:b/>
          <w:bCs/>
          <w:sz w:val="22"/>
          <w:u w:val="single"/>
        </w:rPr>
      </w:pPr>
      <w:r>
        <w:rPr>
          <w:rFonts w:cs="Arial" w:ascii="Arial" w:hAnsi="Arial"/>
          <w:b/>
          <w:bCs/>
          <w:sz w:val="22"/>
          <w:u w:val="single"/>
        </w:rPr>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b/>
          <w:sz w:val="22"/>
        </w:rPr>
      </w:pPr>
      <w:r>
        <w:rPr>
          <w:rFonts w:cs="Arial" w:ascii="Arial" w:hAnsi="Arial"/>
          <w:b/>
          <w:sz w:val="22"/>
        </w:rPr>
        <w:t>Commodity Futures Modernization Act</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 xml:space="preserve">Congress enacted legislation to modernize the Commodity Exchange Act and reauthorize the CFTC.  The Commodity Futures Modernization Act attempts to </w:t>
      </w:r>
      <w:r>
        <w:rPr>
          <w:rFonts w:cs="Arial" w:ascii="Arial" w:hAnsi="Arial"/>
        </w:rPr>
        <w:t>eliminate unnecessary regulation of commodity futures exchanges and other entities falling within coverage of the Commodities Exchange Act (“CEA”) and provides legal certainty with regard to certain futures and derivative transactions. The Act is particularly important to Enron since it provides legal certainty for energy and other transactions occurring both on an over-the-counter bilateral basis and on multilateral electronic trading platforms.  An exemption created for multilateral transactions provides an opportunity for Enron Online to expand its trading platform into other product and service areas.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Enron lead the Energy Group, a coalition of companies seeking legal certainty in the over-the-counter derivatives (OTC) market as well as providing for a full statutory exemption for all non-agriculture commodities on both bilateral and multilateral trading platforms. Enron also fought back efforts to strip or restrict the non-commodity language through the Committee process.  </w:t>
      </w:r>
    </w:p>
    <w:p>
      <w:pPr>
        <w:pStyle w:val="Normal"/>
        <w:rPr>
          <w:rFonts w:ascii="Arial" w:hAnsi="Arial" w:cs="Arial"/>
          <w:sz w:val="22"/>
        </w:rPr>
      </w:pPr>
      <w:r>
        <w:rPr>
          <w:rFonts w:cs="Arial" w:ascii="Arial" w:hAnsi="Arial"/>
          <w:sz w:val="22"/>
        </w:rPr>
      </w:r>
    </w:p>
    <w:p>
      <w:pPr>
        <w:pStyle w:val="Normal"/>
        <w:rPr>
          <w:rFonts w:ascii="Arial" w:hAnsi="Arial" w:cs="Arial"/>
          <w:bCs/>
          <w:sz w:val="22"/>
        </w:rPr>
      </w:pPr>
      <w:r>
        <w:rPr>
          <w:rFonts w:cs="Arial" w:ascii="Arial" w:hAnsi="Arial"/>
          <w:bCs/>
          <w:sz w:val="22"/>
        </w:rPr>
        <w:t>The value to Enron is difficult to estimate.  Mark Haedicke claims that the value is at least $25 million.  However, given that a significant percentage of Enron’s share valuation has been driven by the growth in Enron Online, the new opportunity to expand the trading platform into multilateral products and services should further enhance Enron’s share valuation.  Moreover, removal of legal uncertainty and reduction of other regulatory burdens should increase liquidity and expand market opportunities for Enron.</w:t>
      </w:r>
    </w:p>
    <w:p>
      <w:pPr>
        <w:pStyle w:val="Normal"/>
        <w:rPr>
          <w:rFonts w:ascii="Arial" w:hAnsi="Arial" w:cs="Arial"/>
          <w:b/>
          <w:bCs/>
          <w:sz w:val="22"/>
        </w:rPr>
      </w:pPr>
      <w:r>
        <w:rPr>
          <w:rFonts w:cs="Arial" w:ascii="Arial" w:hAnsi="Arial"/>
          <w:b/>
          <w:bCs/>
          <w:sz w:val="22"/>
        </w:rPr>
      </w:r>
    </w:p>
    <w:p>
      <w:pPr>
        <w:pStyle w:val="Normal"/>
        <w:rPr>
          <w:rFonts w:ascii="Arial" w:hAnsi="Arial" w:cs="Arial"/>
          <w:b/>
          <w:sz w:val="22"/>
        </w:rPr>
      </w:pPr>
      <w:r>
        <w:rPr>
          <w:rFonts w:cs="Arial" w:ascii="Arial" w:hAnsi="Arial"/>
          <w:b/>
          <w:sz w:val="22"/>
        </w:rPr>
        <w:t>Bilateral Investment Treaties (BITs)</w:t>
      </w:r>
    </w:p>
    <w:p>
      <w:pPr>
        <w:pStyle w:val="Normal"/>
        <w:rPr>
          <w:rFonts w:ascii="Arial" w:hAnsi="Arial" w:cs="Arial"/>
          <w:sz w:val="22"/>
        </w:rPr>
      </w:pPr>
      <w:r>
        <w:rPr>
          <w:rFonts w:cs="Arial" w:ascii="Arial" w:hAnsi="Arial"/>
          <w:sz w:val="22"/>
        </w:rPr>
        <w:t xml:space="preserve">Enron’s Washington office mobilized the Washington community to push the Executive Branch (Department of State, USTR) into moving the BITs to the Senate Foreign Relations Committee for a September 13, 2000 hearing.  The BITs cover 9 countries, including Bolivia, where Enron has extensive commercial interests.  Congress approved the BITs in October. </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The BITs, among other things, provide Enron’s assets and commercial activities in Bolivia and other countries with enhanced legal protection by insuring that a State’s laws are applied equally to foreign companies.  In addition, the BITs allow for international arbitration to settle disputes.  Both these provisions are critical to obtaining international financing for commercial activities.  As a result, Enron SA ‘s Michael Smith estimates that the value of the US Bolivia BIT is potentially </w:t>
      </w:r>
      <w:r>
        <w:rPr>
          <w:rFonts w:cs="Arial" w:ascii="Arial" w:hAnsi="Arial"/>
          <w:bCs/>
          <w:sz w:val="22"/>
        </w:rPr>
        <w:t>$256 million</w:t>
      </w:r>
      <w:r>
        <w:rPr>
          <w:rFonts w:cs="Arial" w:ascii="Arial" w:hAnsi="Arial"/>
          <w:sz w:val="22"/>
        </w:rPr>
        <w:t xml:space="preserve"> to Enron.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Passage of the BITs would not have taken place without Enron’s leadership and organization.  We were also involved earlier with the actual negotiation of the US Bolivia BIT working with State, USTR and Treasury in proposing specific language.  No other company was involved at such a level.  </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Bolivia-Brazil MOU</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 xml:space="preserve">The Washington Office (including John Hardy) combined forces with Enron’s SA offices in order to stop an MOU between the Bolivian and Brazilian Governments, which would have foreclosed competition to construct a second pipeline for Bolivia to Brazil.  The nature of the MOU was to allow Petrobras to extend its monopoly over natural gas production, transmission and sales that would have further eroded the value of Enron’s investments in Bolivia and Brazil.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Enron engaged the Department of State and Ambassador Donna Hrinak to hold a series of meetings in La Paz with GOB leaders.  Two Assistant Secretaries signed a letter to President Banzer urging him to follow Bolivian law and open any second pipeline found to be supportable to a transparent bidding process.  The GOB announced that they would act in accordance with Bolivian law and open the process to bidding.  </w:t>
      </w:r>
    </w:p>
    <w:p>
      <w:pPr>
        <w:pStyle w:val="Normal"/>
        <w:rPr>
          <w:rFonts w:ascii="Arial" w:hAnsi="Arial" w:cs="Arial"/>
          <w:sz w:val="22"/>
        </w:rPr>
      </w:pPr>
      <w:r>
        <w:rPr>
          <w:rFonts w:cs="Arial" w:ascii="Arial" w:hAnsi="Arial"/>
          <w:sz w:val="22"/>
        </w:rPr>
      </w:r>
    </w:p>
    <w:p>
      <w:pPr>
        <w:pStyle w:val="Normal"/>
        <w:rPr/>
      </w:pPr>
      <w:r>
        <w:rPr>
          <w:rFonts w:cs="Arial" w:ascii="Arial" w:hAnsi="Arial"/>
          <w:sz w:val="22"/>
        </w:rPr>
        <w:t>The exact short term and long term benefit of the action is unknown. However, given the significant problems in the gas and power sector that are caused by the Petrobras monopoly, any victory over Petrobras enhances Enron’s commercial activities in the gas and power markets.</w:t>
      </w:r>
      <w:r>
        <w:rPr>
          <w:rFonts w:cs="Arial" w:ascii="Arial" w:hAnsi="Arial"/>
          <w:b/>
          <w:sz w:val="22"/>
        </w:rPr>
        <w:t xml:space="preserve">  </w:t>
      </w:r>
    </w:p>
    <w:p>
      <w:pPr>
        <w:pStyle w:val="Normal"/>
        <w:rPr>
          <w:rFonts w:ascii="Arial" w:hAnsi="Arial" w:cs="Arial"/>
          <w:b/>
          <w:sz w:val="22"/>
        </w:rPr>
      </w:pPr>
      <w:r>
        <w:rPr>
          <w:rFonts w:cs="Arial" w:ascii="Arial" w:hAnsi="Arial"/>
          <w:b/>
          <w:sz w:val="22"/>
        </w:rPr>
      </w:r>
    </w:p>
    <w:p>
      <w:pPr>
        <w:pStyle w:val="Heading3"/>
        <w:ind w:hanging="0" w:start="0"/>
        <w:rPr/>
      </w:pPr>
      <w:r>
        <w:rPr/>
        <w:t>Public Lands Fiber Optics Right-of-Way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Bureau of Land Management (BLM) and the US Forest Service attempted to circumvent formal rulemaking processes and redefine "fair market value" for fiber optics and other transmission networks that cross public lands.  Inflating the definition of “fair market value” could significantly impact Enron Corp. since an attempt to apply this same valuation methodology to all transmission networks could significantly increase costs to the Pipeline Group.  </w:t>
      </w:r>
    </w:p>
    <w:p>
      <w:pPr>
        <w:pStyle w:val="Normal"/>
        <w:rPr>
          <w:rFonts w:ascii="Arial" w:hAnsi="Arial" w:cs="Arial"/>
          <w:sz w:val="22"/>
        </w:rPr>
      </w:pPr>
      <w:r>
        <w:rPr>
          <w:rFonts w:cs="Arial" w:ascii="Arial" w:hAnsi="Arial"/>
          <w:sz w:val="22"/>
        </w:rPr>
      </w:r>
    </w:p>
    <w:p>
      <w:pPr>
        <w:pStyle w:val="Normal"/>
        <w:rPr>
          <w:rFonts w:ascii="Arial" w:hAnsi="Arial" w:cs="Arial"/>
          <w:bCs/>
          <w:sz w:val="22"/>
        </w:rPr>
      </w:pPr>
      <w:r>
        <w:rPr>
          <w:rFonts w:cs="Arial" w:ascii="Arial" w:hAnsi="Arial"/>
          <w:sz w:val="22"/>
        </w:rPr>
        <w:t>Enron formed and leads a coalition of 20 companies and associations that is addressing the issue and has succeeded in halting the BLM from implementing its new strategy at this time.  In addition, the group has raised significant interest and opposition in Congress and will work with the 107</w:t>
      </w:r>
      <w:r>
        <w:rPr>
          <w:rFonts w:cs="Arial" w:ascii="Arial" w:hAnsi="Arial"/>
          <w:sz w:val="22"/>
          <w:vertAlign w:val="superscript"/>
        </w:rPr>
        <w:t>th</w:t>
      </w:r>
      <w:r>
        <w:rPr>
          <w:rFonts w:cs="Arial" w:ascii="Arial" w:hAnsi="Arial"/>
          <w:sz w:val="22"/>
        </w:rPr>
        <w:t xml:space="preserve"> Congress to refine statutory language and authorizing legislation that will restrict such unilateral action by Federal agencies.  Jim Steffes’ group </w:t>
      </w:r>
      <w:r>
        <w:rPr>
          <w:rFonts w:cs="Arial" w:ascii="Arial" w:hAnsi="Arial"/>
          <w:bCs/>
          <w:sz w:val="22"/>
        </w:rPr>
        <w:t>estimated a savings to EBS of approximately $89 million for 2000.</w:t>
      </w:r>
    </w:p>
    <w:p>
      <w:pPr>
        <w:pStyle w:val="Normal"/>
        <w:rPr>
          <w:rFonts w:ascii="Arial" w:hAnsi="Arial" w:cs="Arial"/>
          <w:bCs/>
          <w:sz w:val="22"/>
        </w:rPr>
      </w:pPr>
      <w:r>
        <w:rPr>
          <w:rFonts w:cs="Arial" w:ascii="Arial" w:hAnsi="Arial"/>
          <w:bCs/>
          <w:sz w:val="22"/>
        </w:rPr>
      </w:r>
    </w:p>
    <w:p>
      <w:pPr>
        <w:pStyle w:val="Normal"/>
        <w:rPr/>
      </w:pPr>
      <w:r>
        <w:rPr>
          <w:rFonts w:cs="Arial" w:ascii="Arial" w:hAnsi="Arial"/>
          <w:b/>
          <w:sz w:val="22"/>
        </w:rPr>
        <w:t>Argentina</w:t>
      </w:r>
      <w:r>
        <w:rPr>
          <w:rFonts w:cs="Arial" w:ascii="Arial" w:hAnsi="Arial"/>
          <w:sz w:val="22"/>
        </w:rPr>
        <w:t xml:space="preserve"> </w:t>
      </w:r>
      <w:r>
        <w:rPr>
          <w:rFonts w:cs="Arial" w:ascii="Arial" w:hAnsi="Arial"/>
          <w:b/>
          <w:sz w:val="22"/>
        </w:rPr>
        <w:t>Stamp Tax Issue</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 xml:space="preserve">Three Argentine provinces have assessed stamp taxes on Enron’s TGS pipeline, which total nearly $600 million. Enron regards such taxation to be unlawful.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 stop the tax assessment Enron engaged Under Secretary of State Alan Larson prior to a trip he made to Buenos Aires to meet with government of Argentina officials.  Recently, we set up meetings for Enron senior counsel Michelle Blaine and her legal advisors in Buenos Aires and Houston with the USG officials and the Argentine Ambassador in Washington.  The Argentine embassy pledged to support our position, which they characterized as a federal government vs. provincial government long-term struggle.  We will continue to be involved by maintaining pressure through official channels on the government of Argentina, as well as forcing it to the top of the US-Argentina bilateral discussions.  The ultimate resolution could be arbitration under the US-Argentine BIT.</w:t>
      </w:r>
    </w:p>
    <w:p>
      <w:pPr>
        <w:pStyle w:val="Heading3"/>
        <w:ind w:hanging="0" w:start="0"/>
        <w:rPr>
          <w:rFonts w:ascii="Arial" w:hAnsi="Arial" w:cs="Arial"/>
          <w:b w:val="false"/>
          <w:sz w:val="22"/>
        </w:rPr>
      </w:pPr>
      <w:r>
        <w:rPr>
          <w:rFonts w:cs="Arial"/>
          <w:b w:val="false"/>
          <w:sz w:val="22"/>
        </w:rPr>
      </w:r>
    </w:p>
    <w:p>
      <w:pPr>
        <w:pStyle w:val="Heading3"/>
        <w:ind w:hanging="0" w:start="0"/>
        <w:rPr/>
      </w:pPr>
      <w:r>
        <w:rPr/>
        <w:t>DOD Authorization</w:t>
      </w:r>
    </w:p>
    <w:p>
      <w:pPr>
        <w:pStyle w:val="Normal"/>
        <w:rPr>
          <w:rFonts w:ascii="Arial" w:hAnsi="Arial" w:cs="Arial"/>
          <w:sz w:val="22"/>
        </w:rPr>
      </w:pPr>
      <w:r>
        <w:rPr>
          <w:rFonts w:cs="Arial" w:ascii="Arial" w:hAnsi="Arial"/>
          <w:sz w:val="22"/>
        </w:rPr>
        <w:t xml:space="preserve">Enron successfully defeated the Hefley amendment contained in the House-passed version of the DoD authorization bill.  The amendment would have required military bases to sole source contracts to the local utility and would also subject our Enron Federal Services to PUHCA.  Such provisions, if passed, would have foreclosed EES commercial opportunities at military bases.  Tom White estimates that the total market for such services to be $45 billion for deferred maintenance, $10 billion for commodities and  $20 billion for management of conveyance systems (all combined $75 billion).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Washington office organized opposition (and for a period of time was the only opposition), developed the briefing papers and organized meetings with members of Congress.  This was a difficult fight since our opposition was the electric utility industry and since the damaging legislative language was attached to an important spending authorization bill.</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H-1B Visa</w:t>
      </w:r>
    </w:p>
    <w:p>
      <w:pPr>
        <w:pStyle w:val="Normal"/>
        <w:rPr>
          <w:rFonts w:ascii="Arial" w:hAnsi="Arial" w:cs="Arial"/>
          <w:b/>
          <w:sz w:val="22"/>
        </w:rPr>
      </w:pPr>
      <w:r>
        <w:rPr>
          <w:rFonts w:cs="Arial" w:ascii="Arial" w:hAnsi="Arial"/>
          <w:b/>
          <w:sz w:val="22"/>
        </w:rPr>
      </w:r>
    </w:p>
    <w:p>
      <w:pPr>
        <w:pStyle w:val="Normal"/>
        <w:rPr/>
      </w:pPr>
      <w:r>
        <w:rPr>
          <w:rFonts w:cs="Arial" w:ascii="Arial" w:hAnsi="Arial"/>
          <w:sz w:val="22"/>
        </w:rPr>
        <w:t xml:space="preserve">Congress passed legislation lifting the number of H-1B visas that foreign-born high tech workers need to hold a position in the US, which was necessary for Enron to hire and retain these workers.  The cost to Enron had Congress </w:t>
      </w:r>
      <w:r>
        <w:rPr>
          <w:rFonts w:cs="Arial" w:ascii="Arial" w:hAnsi="Arial"/>
          <w:sz w:val="22"/>
          <w:u w:val="single"/>
        </w:rPr>
        <w:t>not</w:t>
      </w:r>
      <w:r>
        <w:rPr>
          <w:rFonts w:cs="Arial" w:ascii="Arial" w:hAnsi="Arial"/>
          <w:sz w:val="22"/>
        </w:rPr>
        <w:t xml:space="preserve"> lifted the cap is noted below.  As Enron has expanded its information technology related businesses, we have encountered a crippling highly skilled worker shortage.  We currently have over 750 jobs open that could be filled with H-1B visa workers.  In the IT area, they have over 160 vacancies.  About 1/3 of the vacancies are currently being out-sourced to consulting firms.  Each one of these positions that are outsourced is costing the company an extra $200,000 per year versus having an in-house employee.  This is because the consulting company realizes the skill shortage and is taking advantage of companies with these fees.  </w:t>
      </w:r>
      <w:r>
        <w:rPr>
          <w:rFonts w:cs="Arial" w:ascii="Arial" w:hAnsi="Arial"/>
          <w:bCs/>
          <w:sz w:val="22"/>
        </w:rPr>
        <w:t>As such, this skill shortage is costing us $10 million per year (50 positions at an extra $200,000 per year).</w:t>
      </w:r>
      <w:r>
        <w:rPr>
          <w:rFonts w:cs="Arial" w:ascii="Arial" w:hAnsi="Arial"/>
          <w:sz w:val="22"/>
        </w:rPr>
        <w:t xml:space="preserve">  The number would increase substantially if we had to outsource all 750 employees.</w:t>
      </w:r>
    </w:p>
    <w:p>
      <w:pPr>
        <w:pStyle w:val="Normal"/>
        <w:rPr>
          <w:rFonts w:ascii="Arial" w:hAnsi="Arial" w:cs="Arial"/>
          <w:sz w:val="22"/>
        </w:rPr>
      </w:pPr>
      <w:r>
        <w:rPr>
          <w:rFonts w:cs="Arial" w:ascii="Arial" w:hAnsi="Arial"/>
          <w:sz w:val="22"/>
        </w:rPr>
      </w:r>
    </w:p>
    <w:p>
      <w:pPr>
        <w:pStyle w:val="Heading3"/>
        <w:ind w:hanging="0" w:start="0"/>
        <w:rPr>
          <w:bCs/>
          <w:iCs/>
        </w:rPr>
      </w:pPr>
      <w:r>
        <w:rPr>
          <w:bCs/>
          <w:iCs/>
        </w:rPr>
        <w:t>Trakya Payment and Turkish Energy Market Restructuring</w:t>
      </w:r>
    </w:p>
    <w:p>
      <w:pPr>
        <w:pStyle w:val="Normal"/>
        <w:rPr>
          <w:rFonts w:ascii="Arial" w:hAnsi="Arial" w:cs="Arial"/>
          <w:sz w:val="22"/>
        </w:rPr>
      </w:pPr>
      <w:r>
        <w:rPr>
          <w:rFonts w:cs="Arial" w:ascii="Arial" w:hAnsi="Arial"/>
          <w:sz w:val="22"/>
        </w:rPr>
        <w:t>Enron’s 50% equity stake in Trakya Electric (which is operated by Enron) has been devalued by the recent experience with delinquent payment by the Turkish government and its wholly owned subsidiaries TEAS and BOTAS.  The Washington Government Affairs office has been working closely with Enron Europe in London and Trakya in Istanbul in order to pressure the Turks to pay and to take action to avoid future payment problems.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At times, the Government has owed Trakya 130 million dollars which has prevented Trakya from paying dividends.  After the recent payment by the Turkish Treasury and by TEAS, Trakya will be able to make a dividend payment to the equity partners (Enron).  TEAS still owes approximately $ 44 million.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Specifically, the Washington office briefed Congress, the State Department, Commerce Department, Ex-Im, OPIC, and the World Bank about the payment problems which in turn brought pressure on the Turks to pay.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addition, we have raised the issue of the onerous Fuel Consumption Tax, which has been a significant contributor to the delinquent payment problem.  The Turkish Government is about to pass a decree (advocated by Enron) that would exempt power stations from the tax when burning oil at the request of the Government.  This will remove significant payment pressure on the Government and improve Trakya’s working capital.  Estimate of Value to Enron:  The value of Enron’s 50% equity stake in Trakya is worth zero if payment problems persist.</w:t>
      </w:r>
    </w:p>
    <w:p>
      <w:pPr>
        <w:pStyle w:val="Normal"/>
        <w:rPr>
          <w:rFonts w:ascii="Arial" w:hAnsi="Arial" w:cs="Arial"/>
          <w:sz w:val="22"/>
        </w:rPr>
      </w:pPr>
      <w:r>
        <w:rPr>
          <w:rFonts w:cs="Arial" w:ascii="Arial" w:hAnsi="Arial"/>
          <w:sz w:val="22"/>
        </w:rPr>
      </w:r>
    </w:p>
    <w:p>
      <w:pPr>
        <w:pStyle w:val="Heading3"/>
        <w:ind w:hanging="0" w:start="0"/>
        <w:rPr>
          <w:bCs/>
          <w:iCs/>
        </w:rPr>
      </w:pPr>
      <w:r>
        <w:rPr>
          <w:bCs/>
          <w:iCs/>
        </w:rPr>
        <w:t>Electricity Restructuring</w:t>
      </w:r>
    </w:p>
    <w:p>
      <w:pPr>
        <w:pStyle w:val="Normal"/>
        <w:rPr>
          <w:bCs/>
          <w:iCs/>
        </w:rPr>
      </w:pPr>
      <w:r>
        <w:rPr>
          <w:bCs/>
          <w:iCs/>
        </w:rPr>
      </w:r>
    </w:p>
    <w:p>
      <w:pPr>
        <w:pStyle w:val="BodyText3"/>
        <w:spacing w:lineRule="auto" w:line="240"/>
        <w:rPr>
          <w:rFonts w:cs="Arial"/>
          <w:szCs w:val="24"/>
        </w:rPr>
      </w:pPr>
      <w:r>
        <w:rPr>
          <w:rFonts w:cs="Arial"/>
          <w:szCs w:val="24"/>
        </w:rPr>
        <w:t xml:space="preserve">The Washington office continued its on going battle to pass Federal legislation that will enhance wholesale competition and transmission access.  During the battle, the office successfully blocked stand-alone reliability legislation and blocked stand-alone PUHCA Legislation, which would have prevented adoption of more far reaching reform.  In addition, comprehensive legislation passed through the House Energy and Power Subcommittee and through the Senate Energy Committee with an Enron-only PUHCA provision that protected EES assets from PGE ownership exposure.  </w:t>
      </w:r>
    </w:p>
    <w:p>
      <w:pPr>
        <w:pStyle w:val="BodyText3"/>
        <w:spacing w:lineRule="auto" w:line="240"/>
        <w:rPr>
          <w:rFonts w:cs="Arial"/>
          <w:szCs w:val="24"/>
        </w:rPr>
      </w:pPr>
      <w:r>
        <w:rPr>
          <w:rFonts w:cs="Arial"/>
          <w:szCs w:val="24"/>
        </w:rPr>
      </w:r>
    </w:p>
    <w:p>
      <w:pPr>
        <w:pStyle w:val="BodyText3"/>
        <w:spacing w:lineRule="auto" w:line="240"/>
        <w:rPr>
          <w:rFonts w:cs="Arial"/>
          <w:szCs w:val="24"/>
        </w:rPr>
      </w:pPr>
      <w:r>
        <w:rPr>
          <w:rFonts w:cs="Arial"/>
          <w:szCs w:val="24"/>
        </w:rPr>
        <w:t xml:space="preserve">The office also drafted native load compromise legislative language and blocked enactment of any legislation that lacked this language.  We also successfully drafted and introduced Senator Gramm/Schumer date-certain legislation, drafted Enron-supported BPA and TVA provisions and achieved a Private Use Compromise that will allow for access to transmission grids owned by government entities and financed by tax exempt bonds.  </w:t>
      </w:r>
    </w:p>
    <w:p>
      <w:pPr>
        <w:pStyle w:val="BodyText3"/>
        <w:spacing w:lineRule="auto" w:line="240"/>
        <w:rPr>
          <w:rFonts w:cs="Arial"/>
          <w:szCs w:val="24"/>
        </w:rPr>
      </w:pPr>
      <w:r>
        <w:rPr>
          <w:rFonts w:cs="Arial"/>
          <w:szCs w:val="24"/>
        </w:rPr>
      </w:r>
    </w:p>
    <w:p>
      <w:pPr>
        <w:pStyle w:val="BodyText3"/>
        <w:spacing w:lineRule="auto" w:line="240"/>
        <w:rPr>
          <w:rFonts w:cs="Arial"/>
          <w:szCs w:val="24"/>
        </w:rPr>
      </w:pPr>
      <w:r>
        <w:rPr>
          <w:rFonts w:cs="Arial"/>
          <w:szCs w:val="24"/>
        </w:rPr>
        <w:t>During the course of this Congress Enron maintained leadership positions at every policy table including the DOE Stakeholders Group, MidAmerican Roundtable, NRDC stakeholders, Consumers for Fair Competition, Americans for Affordable Electricity (Chaired Message and Media Committee), NAM, Chamber, EPSA, and the Leadership Task Force.</w:t>
      </w:r>
    </w:p>
    <w:p>
      <w:pPr>
        <w:pStyle w:val="Normal"/>
        <w:rPr>
          <w:rFonts w:ascii="Arial" w:hAnsi="Arial" w:cs="Arial"/>
          <w:sz w:val="22"/>
          <w:szCs w:val="24"/>
        </w:rPr>
      </w:pPr>
      <w:r>
        <w:rPr>
          <w:rFonts w:cs="Arial" w:ascii="Arial" w:hAnsi="Arial"/>
          <w:sz w:val="22"/>
          <w:szCs w:val="24"/>
        </w:rPr>
      </w:r>
    </w:p>
    <w:p>
      <w:pPr>
        <w:pStyle w:val="Heading3"/>
        <w:ind w:hanging="0" w:start="0"/>
        <w:rPr>
          <w:bCs/>
          <w:iCs/>
        </w:rPr>
      </w:pPr>
      <w:r>
        <w:rPr>
          <w:bCs/>
          <w:iCs/>
        </w:rPr>
        <w:t>Strategic Petroleum Reserve (SPR)</w:t>
      </w:r>
    </w:p>
    <w:p>
      <w:pPr>
        <w:pStyle w:val="Normal"/>
        <w:rPr>
          <w:rFonts w:ascii="Arial" w:hAnsi="Arial" w:cs="Arial"/>
        </w:rPr>
      </w:pPr>
      <w:r>
        <w:rPr>
          <w:rFonts w:cs="Arial" w:ascii="Arial" w:hAnsi="Arial"/>
          <w:sz w:val="22"/>
        </w:rPr>
        <w:t>Enron participated in promoting the enactment EPACT reauthorization and blocked anti-market provisions.  During the process we informed traders of the potential for releases from the Reserve.</w:t>
      </w:r>
    </w:p>
    <w:p>
      <w:pPr>
        <w:pStyle w:val="Normal"/>
        <w:rPr>
          <w:rFonts w:ascii="Arial" w:hAnsi="Arial" w:cs="Arial"/>
        </w:rPr>
      </w:pPr>
      <w:r>
        <w:rPr>
          <w:rFonts w:cs="Arial" w:ascii="Arial" w:hAnsi="Arial"/>
        </w:rPr>
      </w:r>
    </w:p>
    <w:p>
      <w:pPr>
        <w:pStyle w:val="Heading3"/>
        <w:ind w:hanging="0" w:start="0"/>
        <w:rPr>
          <w:bCs/>
          <w:iCs/>
        </w:rPr>
      </w:pPr>
      <w:r>
        <w:rPr>
          <w:bCs/>
          <w:iCs/>
        </w:rPr>
        <w:t>Bankruptcy Code</w:t>
      </w:r>
    </w:p>
    <w:p>
      <w:pPr>
        <w:pStyle w:val="BodyText3"/>
        <w:spacing w:lineRule="auto" w:line="240"/>
        <w:rPr>
          <w:rFonts w:cs="Arial"/>
          <w:szCs w:val="24"/>
        </w:rPr>
      </w:pPr>
      <w:r>
        <w:rPr>
          <w:rFonts w:cs="Arial"/>
          <w:szCs w:val="24"/>
        </w:rPr>
        <w:t>Enron included legislative language for a technical correction to the Enron-enacted Production Payment provision.  However, the bill was pocket-vetoed by President Clinton.  This is the third consecutive Congress where Enron was able to successfully include this provision in the central legislation.  Enron is signing fewer agreements and those currently on our books are nearing contract completion but current exposure is probably valued at near $5 million.</w:t>
      </w:r>
    </w:p>
    <w:p>
      <w:pPr>
        <w:pStyle w:val="BodyText3"/>
        <w:spacing w:lineRule="auto" w:line="240"/>
        <w:rPr>
          <w:rFonts w:cs="Arial"/>
          <w:szCs w:val="24"/>
        </w:rPr>
      </w:pPr>
      <w:r>
        <w:rPr>
          <w:rFonts w:cs="Arial"/>
          <w:szCs w:val="24"/>
        </w:rPr>
      </w:r>
    </w:p>
    <w:p>
      <w:pPr>
        <w:pStyle w:val="BodyText3"/>
        <w:spacing w:lineRule="auto" w:line="240"/>
        <w:rPr>
          <w:rFonts w:cs="Arial"/>
          <w:b/>
          <w:bCs/>
          <w:szCs w:val="24"/>
        </w:rPr>
      </w:pPr>
      <w:r>
        <w:rPr>
          <w:rFonts w:cs="Arial"/>
          <w:b/>
          <w:bCs/>
          <w:szCs w:val="24"/>
        </w:rPr>
        <w:t>Tax</w:t>
      </w:r>
    </w:p>
    <w:p>
      <w:pPr>
        <w:pStyle w:val="BodyText3"/>
        <w:spacing w:lineRule="auto" w:line="240"/>
        <w:rPr>
          <w:rFonts w:cs="Arial"/>
          <w:szCs w:val="24"/>
        </w:rPr>
      </w:pPr>
      <w:r>
        <w:rPr>
          <w:rFonts w:cs="Arial"/>
          <w:szCs w:val="24"/>
        </w:rPr>
        <w:t>Numerous provisions were included in legislation including the corporate tax shelter, production tax credits, the foreign tax credits on pipelines and electricity transmission and energy efficiency.  However no bill was signed into law this year but a tax bill will be considered next Congress.  The moratorium on Internet taxation was also included in legislation, but did not pass Congress.</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2"/>
      </w:rPr>
      <w:t>-</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r>
      <w:rPr>
        <w:rStyle w:val="PageNumber"/>
        <w:rFonts w:cs="Arial" w:ascii="Arial" w:hAnsi="Arial"/>
        <w:sz w:val="22"/>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2"/>
      </w:rPr>
      <w:t>-</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1</w:t>
    </w:r>
    <w:r>
      <w:rPr>
        <w:rStyle w:val="PageNumber"/>
        <w:sz w:val="22"/>
        <w:rFonts w:cs="Arial" w:ascii="Arial" w:hAnsi="Arial"/>
      </w:rPr>
      <w:fldChar w:fldCharType="end"/>
    </w:r>
    <w:r>
      <w:rPr>
        <w:rStyle w:val="PageNumber"/>
        <w:rFonts w:cs="Arial" w:ascii="Arial" w:hAnsi="Arial"/>
        <w:sz w:val="22"/>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8"/>
      <w:szCs w:val="20"/>
      <w:u w:val="single"/>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szCs w:val="20"/>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jc w:val="center"/>
      <w:outlineLvl w:val="3"/>
    </w:pPr>
    <w:rPr>
      <w:rFonts w:ascii="Arial" w:hAnsi="Arial" w:cs="Arial"/>
      <w:b/>
      <w:bCs/>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i/>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Arial" w:hAnsi="Arial" w:cs="Arial"/>
      <w:color w:val="000000"/>
      <w:sz w:val="20"/>
      <w:szCs w:val="20"/>
    </w:rPr>
  </w:style>
  <w:style w:type="paragraph" w:styleId="BodyText3">
    <w:name w:val="Body Text 3"/>
    <w:basedOn w:val="Normal"/>
    <w:qFormat/>
    <w:pPr>
      <w:spacing w:lineRule="atLeast" w:line="240"/>
    </w:pPr>
    <w:rPr>
      <w:rFonts w:ascii="Arial" w:hAnsi="Arial" w:cs="Arial"/>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2001-01-02T19:01:00Z</dcterms:created>
  <dc:creator>lsulliv</dc:creator>
  <dc:description/>
  <dc:language>en-CA</dc:language>
  <cp:lastModifiedBy>tbriggs</cp:lastModifiedBy>
  <cp:lastPrinted>2001-01-02T17:21:00Z</cp:lastPrinted>
  <dcterms:modified xsi:type="dcterms:W3CDTF">2001-01-04T13:28:00Z</dcterms:modified>
  <cp:revision>9</cp:revision>
  <dc:subject/>
  <dc:title>Overview: This has been one of the most active and successful years for the Enron Washington Federal Affairs office</dc:title>
</cp:coreProperties>
</file>