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0" w:leader="none"/>
        </w:tabs>
        <w:ind w:start="-540" w:end="-540"/>
        <w:rPr/>
      </w:pPr>
      <w:r>
        <w:rPr>
          <w:b/>
          <w:sz w:val="20"/>
        </w:rPr>
        <w:t>Enron Energy Services.</w:t>
      </w:r>
      <w:r>
        <w:rPr>
          <w:sz w:val="18"/>
        </w:rPr>
        <w:t xml:space="preserve">  Houston.  ANALYST.  Enron Energy Services-Global Commodity Risk Management.  </w:t>
      </w:r>
      <w:r>
        <w:rPr>
          <w:b/>
          <w:sz w:val="18"/>
        </w:rPr>
        <w:t>Feb 2000-Present</w:t>
      </w:r>
      <w:r>
        <w:rPr>
          <w:sz w:val="18"/>
        </w:rPr>
        <w:t>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ind w:hanging="0" w:start="-540" w:end="-540"/>
        <w:rPr>
          <w:sz w:val="20"/>
        </w:rPr>
      </w:pPr>
      <w:r>
        <w:rPr>
          <w:sz w:val="20"/>
        </w:rPr>
        <w:t>Pricing gas and electric risk management instruments for commercial/industrial customers in regulated and deregulated states.</w:t>
      </w:r>
    </w:p>
    <w:p>
      <w:pPr>
        <w:pStyle w:val="BodyText"/>
        <w:numPr>
          <w:ilvl w:val="0"/>
          <w:numId w:val="5"/>
        </w:numPr>
        <w:tabs>
          <w:tab w:val="clear" w:pos="720"/>
        </w:tabs>
        <w:ind w:hanging="0" w:start="-540" w:end="-540"/>
        <w:rPr>
          <w:sz w:val="20"/>
        </w:rPr>
      </w:pPr>
      <w:r>
        <w:rPr>
          <w:sz w:val="20"/>
        </w:rPr>
        <w:t>Building models for consumption forecasting and financial modeling; providing backcast comparisons of customer baseline verses</w:t>
      </w:r>
    </w:p>
    <w:p>
      <w:pPr>
        <w:pStyle w:val="BodyText"/>
        <w:ind w:end="-540"/>
        <w:rPr>
          <w:sz w:val="20"/>
        </w:rPr>
      </w:pPr>
      <w:r>
        <w:rPr>
          <w:sz w:val="20"/>
        </w:rPr>
        <w:t>Enron structured offer.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ind w:hanging="0" w:start="-540" w:end="-540"/>
        <w:rPr>
          <w:sz w:val="20"/>
        </w:rPr>
      </w:pPr>
      <w:r>
        <w:rPr>
          <w:sz w:val="20"/>
        </w:rPr>
        <w:t xml:space="preserve">Providing broad-based energy structuring support to EES Underwriting GP. to ensure project risk modeling in ENE risk book. 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ind w:hanging="0" w:start="-540" w:end="-540"/>
        <w:rPr>
          <w:sz w:val="20"/>
        </w:rPr>
      </w:pPr>
      <w:r>
        <w:rPr>
          <w:sz w:val="20"/>
        </w:rPr>
        <w:t xml:space="preserve">Energy measurement and savings verification for Demand Side Management </w:t>
      </w:r>
      <w:r>
        <w:rPr>
          <w:i/>
          <w:sz w:val="20"/>
        </w:rPr>
        <w:t>(DSM)</w:t>
      </w:r>
      <w:r>
        <w:rPr>
          <w:sz w:val="20"/>
        </w:rPr>
        <w:t xml:space="preserve"> GP.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ind w:hanging="0" w:start="-540" w:end="-540"/>
        <w:rPr>
          <w:sz w:val="20"/>
        </w:rPr>
      </w:pPr>
      <w:r>
        <w:rPr>
          <w:sz w:val="20"/>
        </w:rPr>
        <w:t>Developing energy and power price forecasts through communication with commercial, technical and regulatory teams.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ind w:hanging="0" w:start="-540" w:end="-540"/>
        <w:rPr>
          <w:sz w:val="20"/>
        </w:rPr>
      </w:pPr>
      <w:r>
        <w:rPr>
          <w:sz w:val="20"/>
        </w:rPr>
        <w:t>Writing energy analysis reports.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ind w:hanging="0" w:start="-540" w:end="-540"/>
        <w:rPr>
          <w:sz w:val="20"/>
        </w:rPr>
      </w:pPr>
      <w:r>
        <w:rPr>
          <w:sz w:val="20"/>
        </w:rPr>
        <w:t>Day to day support and ad hoc reporting for Structuring and Origination groups.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ind w:hanging="0" w:start="-540" w:end="-540"/>
        <w:rPr>
          <w:sz w:val="20"/>
        </w:rPr>
      </w:pPr>
      <w:r>
        <w:rPr>
          <w:sz w:val="20"/>
        </w:rPr>
        <w:t>Working with Rates and Tariff desk to analyze and update rate forecasts.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ind w:hanging="0" w:start="-540" w:end="-540"/>
        <w:rPr>
          <w:sz w:val="20"/>
        </w:rPr>
      </w:pPr>
      <w:r>
        <w:rPr>
          <w:sz w:val="20"/>
        </w:rPr>
        <w:t>Commodity risk structuring point of contact on key aspects of deal valuation.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ind w:hanging="0" w:start="-540" w:end="-540"/>
        <w:rPr>
          <w:sz w:val="20"/>
        </w:rPr>
      </w:pPr>
      <w:r>
        <w:rPr>
          <w:sz w:val="20"/>
        </w:rPr>
        <w:t>Recommending risk mitigation strategies to enhance deal value.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ind w:hanging="0" w:start="-540" w:end="-540"/>
        <w:rPr>
          <w:sz w:val="20"/>
        </w:rPr>
      </w:pPr>
      <w:r>
        <w:rPr>
          <w:sz w:val="20"/>
        </w:rPr>
        <w:t>Structuring and managing pricing of large outsource and commodity deals.</w:t>
      </w:r>
    </w:p>
    <w:p>
      <w:pPr>
        <w:pStyle w:val="Heading1"/>
        <w:ind w:hanging="0" w:start="-540" w:end="-540"/>
        <w:rPr>
          <w:rFonts w:ascii="Arial" w:hAnsi="Arial" w:cs="Arial"/>
        </w:rPr>
      </w:pPr>
      <w:r>
        <w:rPr/>
        <w:t>Analytical /Technical Skills</w:t>
      </w:r>
    </w:p>
    <w:p>
      <w:pPr>
        <w:pStyle w:val="Normal"/>
        <w:numPr>
          <w:ilvl w:val="0"/>
          <w:numId w:val="3"/>
        </w:numPr>
        <w:ind w:hanging="360" w:start="360" w:end="-540"/>
        <w:rPr>
          <w:rFonts w:ascii="Arial" w:hAnsi="Arial" w:cs="Arial"/>
        </w:rPr>
      </w:pPr>
      <w:r>
        <w:rPr>
          <w:rFonts w:cs="Arial" w:ascii="Arial" w:hAnsi="Arial"/>
        </w:rPr>
        <w:t>Designed/developed/maintained a backcast model to allow users to compare Enron offer to customer baseline.</w:t>
      </w:r>
    </w:p>
    <w:p>
      <w:pPr>
        <w:pStyle w:val="Normal"/>
        <w:ind w:firstLine="360" w:end="-540"/>
        <w:rPr/>
      </w:pPr>
      <w:r>
        <w:rPr/>
        <w:t>Participated in multiple gas and electricity commodity deals as the only analyst that can price both commodities.  I have also</w:t>
      </w:r>
    </w:p>
    <w:p>
      <w:pPr>
        <w:pStyle w:val="Normal"/>
        <w:ind w:firstLine="360" w:end="-540"/>
        <w:rPr/>
      </w:pPr>
      <w:r>
        <w:rPr/>
        <w:t>gained a heightened level of proficiency in pricing deals through Batch 97 (California deals), Batch 01 (national Bundled</w:t>
      </w:r>
    </w:p>
    <w:p>
      <w:pPr>
        <w:pStyle w:val="Normal"/>
        <w:numPr>
          <w:ilvl w:val="0"/>
          <w:numId w:val="3"/>
        </w:numPr>
        <w:ind w:hanging="360" w:start="360" w:end="-540"/>
        <w:rPr/>
      </w:pPr>
      <w:r>
        <w:rPr/>
        <w:t>Pricing), Batch 97 (Options Pricing), and GAS Batch 20 (The gas batch model)</w:t>
      </w:r>
    </w:p>
    <w:p>
      <w:pPr>
        <w:pStyle w:val="Normal"/>
        <w:numPr>
          <w:ilvl w:val="0"/>
          <w:numId w:val="3"/>
        </w:numPr>
        <w:ind w:hanging="360" w:start="360" w:end="-540"/>
        <w:rPr>
          <w:rFonts w:ascii="Arial" w:hAnsi="Arial" w:cs="Arial"/>
        </w:rPr>
      </w:pPr>
      <w:r>
        <w:rPr>
          <w:rFonts w:cs="Arial" w:ascii="Arial" w:hAnsi="Arial"/>
        </w:rPr>
        <w:t xml:space="preserve">Assisted in the development and creation of a standard revenue model that can be used whenever evaluating a wholesale index type structure.  The model assumes that revenue is equal to wholesale index plus fixed basis (both wholesale and </w:t>
      </w:r>
      <w:r>
        <w:rPr/>
        <w:t>delivery).</w:t>
      </w:r>
    </w:p>
    <w:tbl>
      <w:tblPr>
        <w:tblW w:w="1125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95"/>
        <w:gridCol w:w="717"/>
        <w:gridCol w:w="1016"/>
        <w:gridCol w:w="6122"/>
      </w:tblGrid>
      <w:tr>
        <w:trPr/>
        <w:tc>
          <w:tcPr>
            <w:tcW w:w="3395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ind w:start="-540" w:end="-540"/>
              <w:jc w:val="center"/>
              <w:rPr/>
            </w:pPr>
            <w:r>
              <w:rPr/>
              <w:t>Deals</w:t>
            </w:r>
          </w:p>
        </w:tc>
        <w:tc>
          <w:tcPr>
            <w:tcW w:w="717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start="-540" w:end="-540"/>
              <w:jc w:val="center"/>
              <w:rPr/>
            </w:pPr>
            <w:r>
              <w:rPr/>
              <w:t>GAS</w:t>
            </w:r>
          </w:p>
        </w:tc>
        <w:tc>
          <w:tcPr>
            <w:tcW w:w="1016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ind w:start="-540" w:end="-540"/>
              <w:jc w:val="center"/>
              <w:rPr/>
            </w:pPr>
            <w:r>
              <w:rPr/>
              <w:t>POWER</w:t>
            </w:r>
          </w:p>
        </w:tc>
        <w:tc>
          <w:tcPr>
            <w:tcW w:w="6122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ind w:start="-540" w:end="-540"/>
              <w:jc w:val="center"/>
              <w:rPr/>
            </w:pPr>
            <w:r>
              <w:rPr/>
              <w:t>Notes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PILKINGTON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16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Created both the batch and cash flow models for WHSE index + fixed basis deal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PRUDENTIAL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016" w:type="dxa"/>
            <w:tcBorders/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Priced /provided sales support for gas deal through to DASH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RELATED CAPITAL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16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Power deal.  Load Segregation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STARWOOD HOTELS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016" w:type="dxa"/>
            <w:tcBorders/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Priced gas portion of deal; built backcast model initially to illustrate value to customer.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THE LIMITED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16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Manipulates, and staged data on 3000 sites.  Participated in notional pricing of sites in half of the United States 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WALTHER INDUSTRIES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016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Sales prospect.  Performed research for Craig Sutter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WHIRLPOOL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016" w:type="dxa"/>
            <w:tcBorders/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Priced gas portion of deal.  Provided support to structuring on Gas basis, price variance, and volatility calculation associated with deal term basis.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AMERICAN NATIONAL CAN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016" w:type="dxa"/>
            <w:tcBorders/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Gas pricing and Backcast analysis using model developed and created to compare Enron offer to customer baseline costs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DARLING INTERNATIONAL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016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Power and Gas Pricing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HEINZ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16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Deregulation discount with ratchet options modeled.  Priced deal and modeled entire structure.  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IOWA BEEF PROCESSORS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016" w:type="dxa"/>
            <w:tcBorders/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Modeled and priced gas portion of deal.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IMC GLOBAL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016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Q1 Converting ASKII data to excel for synthetic 8760.  Pricing and modeling both power and gas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MERISTAR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016" w:type="dxa"/>
            <w:tcBorders/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Backcast analysis using model developed and created to compare Enron offer to customer baseline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NYU MEDICAL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016" w:type="dxa"/>
            <w:tcBorders/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Gas deal.  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OWENS ILLINOIS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16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Priced and modeled cash flows.  Q4 deal.  Unbundling of WHSE and Delivery basis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PARK PLACE HOTELS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16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Gas Pricing and volatility study. Voltage buy  up analysis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PEPSI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016" w:type="dxa"/>
            <w:tcBorders/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Gas Pricing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ARCH DIOSCES OF BALTIMORE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016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Load forecasting project.  Churches, schools, mtg. facilities, other (Power and Gas)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CHIRON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16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Options pricing/modeling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CATHOLIC HEALTH EAST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016" w:type="dxa"/>
            <w:tcBorders/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Gas deal.  Working on revising 3DR and pricing 10 YR Gas Swap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ind w:end="-540"/>
              <w:rPr/>
            </w:pPr>
            <w:r>
              <w:rPr/>
              <w:t>ELECTROLUX</w:t>
            </w:r>
          </w:p>
        </w:tc>
        <w:tc>
          <w:tcPr>
            <w:tcW w:w="717" w:type="dxa"/>
            <w:tcBorders/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16" w:type="dxa"/>
            <w:tcBorders/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6122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Priced 32 itterations for a collars on blended WHSE index for power</w:t>
            </w:r>
          </w:p>
        </w:tc>
      </w:tr>
      <w:tr>
        <w:trPr/>
        <w:tc>
          <w:tcPr>
            <w:tcW w:w="3395" w:type="dxa"/>
            <w:tcBorders>
              <w:bottom w:val="single" w:sz="12" w:space="0" w:color="008000"/>
            </w:tcBorders>
          </w:tcPr>
          <w:p>
            <w:pPr>
              <w:pStyle w:val="Normal"/>
              <w:ind w:end="-540"/>
              <w:rPr/>
            </w:pPr>
            <w:r>
              <w:rPr/>
              <w:t>FIELD CONTAINER</w:t>
            </w:r>
          </w:p>
        </w:tc>
        <w:tc>
          <w:tcPr>
            <w:tcW w:w="717" w:type="dxa"/>
            <w:tcBorders>
              <w:bottom w:val="single" w:sz="12" w:space="0" w:color="008000"/>
            </w:tcBorders>
          </w:tcPr>
          <w:p>
            <w:pPr>
              <w:pStyle w:val="Heading2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1016" w:type="dxa"/>
            <w:tcBorders>
              <w:bottom w:val="single" w:sz="12" w:space="0" w:color="008000"/>
            </w:tcBorders>
          </w:tcPr>
          <w:p>
            <w:pPr>
              <w:pStyle w:val="Heading2"/>
              <w:snapToGrid w:val="false"/>
              <w:ind w:hanging="0" w:start="-540" w:end="-5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22" w:type="dxa"/>
            <w:tcBorders>
              <w:bottom w:val="single" w:sz="12" w:space="0" w:color="008000"/>
            </w:tcBorders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Review Field Container's national energy portfolio and expenditures</w:t>
            </w:r>
          </w:p>
        </w:tc>
      </w:tr>
    </w:tbl>
    <w:p>
      <w:pPr>
        <w:pStyle w:val="Heading1"/>
        <w:ind w:hanging="0" w:start="-540" w:end="-540"/>
        <w:rPr/>
      </w:pPr>
      <w:r>
        <w:rPr/>
        <w:t>Leadership/Vision/Values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180" w:leader="none"/>
        </w:tabs>
        <w:ind w:hanging="360" w:start="-180" w:end="-540"/>
        <w:rPr>
          <w:rFonts w:ascii="Arial" w:hAnsi="Arial" w:cs="Arial"/>
        </w:rPr>
      </w:pPr>
      <w:r>
        <w:rPr>
          <w:rFonts w:cs="Arial" w:ascii="Arial" w:hAnsi="Arial"/>
        </w:rPr>
        <w:t xml:space="preserve">Trained new analysts and associates within the Bundled Commodity Team on how to use the pricing models and steps in pricing various structures.  </w:t>
      </w:r>
    </w:p>
    <w:p>
      <w:pPr>
        <w:pStyle w:val="Normal"/>
        <w:ind w:start="-540" w:end="-54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1"/>
        <w:ind w:hanging="0" w:start="-540" w:end="-540"/>
        <w:rPr/>
      </w:pPr>
      <w:r>
        <w:rPr/>
        <w:t>Communication/Setting Direction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0" w:start="-540" w:end="-540"/>
        <w:rPr>
          <w:rFonts w:ascii="Arial" w:hAnsi="Arial" w:cs="Arial"/>
        </w:rPr>
      </w:pPr>
      <w:r>
        <w:rPr>
          <w:rFonts w:cs="Arial" w:ascii="Arial" w:hAnsi="Arial"/>
        </w:rPr>
        <w:t>Communicated with Customer on billing issues and invoices issues on several executed deals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0" w:start="-540" w:end="-540"/>
        <w:rPr>
          <w:rFonts w:ascii="Arial" w:hAnsi="Arial" w:cs="Arial"/>
        </w:rPr>
      </w:pPr>
      <w:r>
        <w:rPr>
          <w:rFonts w:cs="Arial" w:ascii="Arial" w:hAnsi="Arial"/>
        </w:rPr>
        <w:t>Worked with various teams within EES to facilitate staging and manipulation of information for various deals.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0" w:start="-540" w:end="-540"/>
        <w:rPr>
          <w:rFonts w:ascii="Arial" w:hAnsi="Arial" w:cs="Arial"/>
        </w:rPr>
      </w:pPr>
      <w:r>
        <w:rPr>
          <w:rFonts w:cs="Arial" w:ascii="Arial" w:hAnsi="Arial"/>
        </w:rPr>
        <w:t>Served as a resource for other analysts and associates within origination and underwriting on procedures and</w:t>
      </w:r>
    </w:p>
    <w:p>
      <w:pPr>
        <w:pStyle w:val="BodyText2"/>
        <w:rPr/>
      </w:pPr>
      <w:r>
        <w:rPr>
          <w:rFonts w:eastAsia="Arial"/>
        </w:rPr>
        <w:t xml:space="preserve"> </w:t>
      </w:r>
      <w:r>
        <w:rPr/>
        <w:t>techniques in modeling various deals.</w:t>
      </w:r>
    </w:p>
    <w:sectPr>
      <w:headerReference w:type="default" r:id="rId2"/>
      <w:type w:val="nextPage"/>
      <w:pgSz w:w="12240" w:h="15840"/>
      <w:pgMar w:left="1008" w:right="1008" w:gutter="0" w:header="720" w:top="776" w:footer="0" w:bottom="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  <w:color w:val="FF0000"/>
      </w:rPr>
      <w:t>Adrian Woolcock</w:t>
    </w:r>
    <w:r>
      <w:rPr>
        <w:b/>
      </w:rPr>
      <w:tab/>
      <w:tab/>
      <w:tab/>
    </w:r>
    <w:r>
      <w:rPr>
        <w:b/>
      </w:rPr>
      <w:fldChar w:fldCharType="begin"/>
    </w:r>
    <w:r>
      <w:rPr>
        <w:b/>
      </w:rPr>
      <w:instrText xml:space="preserve"> DATE \@"MM\/dd\/yy" </w:instrText>
    </w:r>
    <w:r>
      <w:rPr>
        <w:b/>
      </w:rPr>
      <w:fldChar w:fldCharType="separate"/>
    </w:r>
    <w:r>
      <w:rPr>
        <w:b/>
      </w:rPr>
      <w:t>09/28/25</w:t>
    </w:r>
    <w:r>
      <w:rPr>
        <w:b/>
      </w:rPr>
      <w:fldChar w:fldCharType="end"/>
    </w:r>
  </w:p>
  <w:p>
    <w:pPr>
      <w:pStyle w:val="Header"/>
      <w:rPr>
        <w:b/>
      </w:rPr>
    </w:pPr>
    <w:r>
      <w:rPr>
        <w:b/>
      </w:rPr>
      <w:t>Supervisor – Deb Merril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2000 List of Accomplishments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character" w:styleId="WW8Num1z0">
    <w:name w:val="WW8Num1z0"/>
    <w:qFormat/>
    <w:rPr>
      <w:rFonts w:ascii="Symbol" w:hAnsi="Symbol" w:cs="Symbol"/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z w:val="24"/>
    </w:rPr>
  </w:style>
  <w:style w:type="character" w:styleId="WW8Num7z0">
    <w:name w:val="WW8Num7z0"/>
    <w:qFormat/>
    <w:rPr>
      <w:rFonts w:ascii="Symbol" w:hAnsi="Symbol" w:cs="Symbol"/>
      <w:sz w:val="24"/>
    </w:rPr>
  </w:style>
  <w:style w:type="character" w:styleId="WW8Num8z0">
    <w:name w:val="WW8Num8z0"/>
    <w:qFormat/>
    <w:rPr>
      <w:rFonts w:ascii="Symbol" w:hAnsi="Symbol" w:cs="Symbol"/>
      <w:sz w:val="24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sz w:val="24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sz w:val="24"/>
    </w:rPr>
  </w:style>
  <w:style w:type="character" w:styleId="WW8Num15z0">
    <w:name w:val="WW8Num1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-720"/>
      <w:jc w:val="both"/>
    </w:pPr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ind w:hanging="0" w:start="0" w:end="-540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2000-11-18T18:55:00Z</dcterms:created>
  <dc:creator>dduong</dc:creator>
  <dc:description/>
  <dc:language>en-CA</dc:language>
  <cp:lastModifiedBy>awoolcoc</cp:lastModifiedBy>
  <cp:lastPrinted>2000-11-20T13:39:00Z</cp:lastPrinted>
  <dcterms:modified xsi:type="dcterms:W3CDTF">2001-01-29T15:25:00Z</dcterms:modified>
  <cp:revision>4</cp:revision>
  <dc:subject/>
  <dc:title>Transitioned Deals </dc:title>
</cp:coreProperties>
</file>