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u w:val="single"/>
        </w:rPr>
      </w:pPr>
      <w:r>
        <w:rPr>
          <w:b/>
          <w:bCs/>
          <w:u w:val="single"/>
        </w:rPr>
        <w:t>DEFERRAL PLAN QUESTIONS AND ANSWERS</w:t>
      </w:r>
    </w:p>
    <w:p>
      <w:pPr>
        <w:pStyle w:val="Normal"/>
        <w:rPr>
          <w:b/>
          <w:bCs/>
          <w:u w:val="single"/>
        </w:rPr>
      </w:pPr>
      <w:r>
        <w:rPr>
          <w:b/>
          <w:bCs/>
          <w:u w:val="single"/>
        </w:rPr>
      </w:r>
    </w:p>
    <w:p>
      <w:pPr>
        <w:pStyle w:val="Normal"/>
        <w:rPr/>
      </w:pPr>
      <w:r>
        <w:rPr/>
        <w:t xml:space="preserve">Q-1:  What are the general income tax rules regarding non-qualified deferred compensation plans? </w:t>
      </w:r>
    </w:p>
    <w:p>
      <w:pPr>
        <w:pStyle w:val="Normal"/>
        <w:rPr/>
      </w:pPr>
      <w:r>
        <w:rPr/>
      </w:r>
    </w:p>
    <w:p>
      <w:pPr>
        <w:pStyle w:val="Normal"/>
        <w:rPr/>
      </w:pPr>
      <w:r>
        <w:rPr/>
        <w:t xml:space="preserve">A-1:  As you may remember, deferral plans are non-qualified deferred compensation arrangements that are designed to provide participants with the ability to avoid immediate taxation on the income they deferred pursuant to their deferral plan elections.  </w:t>
      </w:r>
    </w:p>
    <w:p>
      <w:pPr>
        <w:pStyle w:val="Normal"/>
        <w:rPr/>
      </w:pPr>
      <w:r>
        <w:rPr/>
      </w:r>
    </w:p>
    <w:p>
      <w:pPr>
        <w:pStyle w:val="Normal"/>
        <w:ind w:firstLine="720" w:end="0"/>
        <w:rPr/>
      </w:pPr>
      <w:r>
        <w:rPr/>
        <w:t>Among the provisions in these types of deferred compensation plans, which are intended to enable the participants to defer taxation, are the limited distribution rights prior to retirement.  In addition, as set forth in the deferral plan documentation and the participation materials that were sent to you at the time of your elections, all deferrals under the plans were to be held as part of the company’s general corporate assets and were to be made subject to the claims of the company’s creditors (necessary to provide deferred taxation).</w:t>
      </w:r>
    </w:p>
    <w:p>
      <w:pPr>
        <w:pStyle w:val="Normal"/>
        <w:rPr/>
      </w:pPr>
      <w:r>
        <w:rPr/>
      </w:r>
    </w:p>
    <w:p>
      <w:pPr>
        <w:pStyle w:val="Normal"/>
        <w:numPr>
          <w:ilvl w:val="0"/>
          <w:numId w:val="0"/>
        </w:numPr>
        <w:outlineLvl w:val="0"/>
        <w:rPr/>
      </w:pPr>
      <w:r>
        <w:rPr/>
        <w:t>Q-2:  What happens to benefits under deferred compensation plans in bankruptcy?</w:t>
      </w:r>
    </w:p>
    <w:p>
      <w:pPr>
        <w:pStyle w:val="Normal"/>
        <w:ind w:firstLine="720" w:end="0"/>
        <w:rPr/>
      </w:pPr>
      <w:r>
        <w:rPr/>
      </w:r>
    </w:p>
    <w:p>
      <w:pPr>
        <w:pStyle w:val="Normal"/>
        <w:rPr/>
      </w:pPr>
      <w:r>
        <w:rPr/>
        <w:t xml:space="preserve">A-2:  Unfortunately, since the company has entered bankruptcy, no distributions may be made from any deferred compensation plans without bankruptcy court approval.  Although the company would like to continue making payments under the deferral plans, the company is prohibited from doing so at this time.  </w:t>
      </w:r>
    </w:p>
    <w:p>
      <w:pPr>
        <w:pStyle w:val="Normal"/>
        <w:ind w:firstLine="720" w:end="0"/>
        <w:rPr/>
      </w:pPr>
      <w:r>
        <w:rPr/>
      </w:r>
    </w:p>
    <w:p>
      <w:pPr>
        <w:pStyle w:val="Normal"/>
        <w:ind w:firstLine="720" w:end="0"/>
        <w:rPr/>
      </w:pPr>
      <w:r>
        <w:rPr/>
        <w:t>To the extent you have a deferral plan benefit that has not been paid, you may have a claim against the Enron bankruptcy estate.  You should file the claim accordingly.  In general, claims under nonqualified plans have the same status as that of the company’s other general unsecured creditors.  Claims of unsecured creditors of the company generally are paid after the claims of secured creditors are satisfied, unless the bankruptcy code applies a special priority to the particular type of claim.  There is no special bankruptcy priority granted to claims relating to nonqualified plans like the deferral plans.</w:t>
      </w:r>
    </w:p>
    <w:p>
      <w:pPr>
        <w:pStyle w:val="Normal"/>
        <w:ind w:firstLine="720" w:end="0"/>
        <w:rPr/>
      </w:pPr>
      <w:r>
        <w:rPr/>
      </w:r>
    </w:p>
    <w:p>
      <w:pPr>
        <w:pStyle w:val="Normal"/>
        <w:rPr/>
      </w:pPr>
      <w:r>
        <w:rPr/>
        <w:t>Q-3:  I have heard that benefits under the deferred compensation plans could have been distributed based upon “hardship”.  What does that mean?  Can I still get a “hardship” distribution?</w:t>
      </w:r>
    </w:p>
    <w:p>
      <w:pPr>
        <w:pStyle w:val="Normal"/>
        <w:rPr/>
      </w:pPr>
      <w:r>
        <w:rPr/>
      </w:r>
    </w:p>
    <w:p>
      <w:pPr>
        <w:pStyle w:val="Normal"/>
        <w:rPr/>
      </w:pPr>
      <w:r>
        <w:rPr/>
        <w:t xml:space="preserve">A-3:  In order to receive a distribution based upon hardship, a participant had to: (i) show a qualifying hardship and (ii) receive the consent of the plan committee.  </w:t>
      </w:r>
    </w:p>
    <w:p>
      <w:pPr>
        <w:pStyle w:val="Normal"/>
        <w:rPr/>
      </w:pPr>
      <w:r>
        <w:rPr/>
      </w:r>
    </w:p>
    <w:p>
      <w:pPr>
        <w:pStyle w:val="Normal"/>
        <w:ind w:firstLine="720" w:end="0"/>
        <w:rPr/>
      </w:pPr>
      <w:r>
        <w:rPr/>
        <w:t>In order to qualify for a hardship withdrawal, participants must have petitioned the plan committee in writing for the distribution.  The request must have been based upon on the participant’s unforeseeable circumstances, which caused an urgent and severe financial hardship.  Under IRS guidance, the types of circumstances which usually met these criteria included accidents and illnesses, large theft and fire losses, severe financial reversals, and large personal judgments.  The requested distribution must have been limited to the amount necessary to relieve the hardship.</w:t>
      </w:r>
    </w:p>
    <w:p>
      <w:pPr>
        <w:pStyle w:val="Normal"/>
        <w:ind w:firstLine="720" w:end="0"/>
        <w:rPr/>
      </w:pPr>
      <w:r>
        <w:rPr/>
      </w:r>
    </w:p>
    <w:p>
      <w:pPr>
        <w:pStyle w:val="Normal"/>
        <w:ind w:firstLine="720" w:end="0"/>
        <w:rPr/>
      </w:pPr>
      <w:r>
        <w:rPr/>
        <w:t xml:space="preserve">In addition, participants claiming hardship must have been able to show that they had utilized all other available resources (including loans from their 401(k) plan account or distributions from the 401(k) plan) before requesting a deferral plan distribution.  </w:t>
      </w:r>
    </w:p>
    <w:p>
      <w:pPr>
        <w:pStyle w:val="Normal"/>
        <w:ind w:firstLine="720" w:end="0"/>
        <w:rPr/>
      </w:pPr>
      <w:r>
        <w:rPr/>
      </w:r>
    </w:p>
    <w:p>
      <w:pPr>
        <w:pStyle w:val="Normal"/>
        <w:ind w:firstLine="720" w:end="0"/>
        <w:rPr/>
      </w:pPr>
      <w:r>
        <w:rPr/>
        <w:t xml:space="preserve">If a participant made the requisite showing of hardship, the plan committee could, in its sole discretion, approve a distribution.  Under no circumstances was the committee required to make distributions under the deferral plans.  </w:t>
      </w:r>
    </w:p>
    <w:p>
      <w:pPr>
        <w:pStyle w:val="Normal"/>
        <w:ind w:firstLine="720" w:end="0"/>
        <w:rPr/>
      </w:pPr>
      <w:r>
        <w:rPr/>
      </w:r>
    </w:p>
    <w:p>
      <w:pPr>
        <w:pStyle w:val="Normal"/>
        <w:ind w:firstLine="720" w:end="0"/>
        <w:rPr/>
      </w:pPr>
      <w:r>
        <w:rPr/>
        <w:t>Any requests for hardship distributions received prior to the time Enron filed its bankruptcy petition were reviewed in light of the applicable provisions of the plan, pending business considerations, the company’s liquidity, the effect of bankruptcy laws on non-qualified deferred compensation plan distributions, and were processed accordingly.</w:t>
      </w:r>
    </w:p>
    <w:p>
      <w:pPr>
        <w:pStyle w:val="Normal"/>
        <w:ind w:firstLine="720" w:end="0"/>
        <w:rPr/>
      </w:pPr>
      <w:r>
        <w:rPr/>
      </w:r>
      <w:r>
        <w:br w:type="page"/>
      </w:r>
    </w:p>
    <w:p>
      <w:pPr>
        <w:pStyle w:val="Normal"/>
        <w:ind w:firstLine="720" w:end="0"/>
        <w:rPr>
          <w:b/>
          <w:bCs/>
          <w:u w:val="single"/>
        </w:rPr>
      </w:pPr>
      <w:r>
        <w:rPr>
          <w:b/>
          <w:bCs/>
          <w:u w:val="single"/>
        </w:rPr>
        <w:t>DEFERRAL PLAN QUESTIONS AND ANSWERS – ENRON CORP. 1994 DEFERRAL PLAN/ENRON EXPAT SERVICES INC. DEFERRAL PLAN</w:t>
      </w:r>
    </w:p>
    <w:p>
      <w:pPr>
        <w:pStyle w:val="Normal"/>
        <w:rPr/>
      </w:pPr>
      <w:r>
        <w:rPr/>
      </w:r>
    </w:p>
    <w:p>
      <w:pPr>
        <w:pStyle w:val="Normal"/>
        <w:rPr/>
      </w:pPr>
      <w:r>
        <w:rPr/>
      </w:r>
    </w:p>
    <w:p>
      <w:pPr>
        <w:pStyle w:val="Normal"/>
        <w:rPr/>
      </w:pPr>
      <w:r>
        <w:rPr/>
        <w:t>Q-4:  I requested an accelerated distribution (subject to the 10% reduction) from the 1994 Deferral Plan and/or the Enron Expat Services, Inc. Deferral Plan.  I understand my claim was not approved but that requests made by other employees may have been.  What were the criteria for determining who received a distribution?</w:t>
      </w:r>
    </w:p>
    <w:p>
      <w:pPr>
        <w:pStyle w:val="Normal"/>
        <w:rPr/>
      </w:pPr>
      <w:r>
        <w:rPr/>
      </w:r>
    </w:p>
    <w:p>
      <w:pPr>
        <w:pStyle w:val="Normal"/>
        <w:rPr/>
      </w:pPr>
      <w:r>
        <w:rPr/>
        <w:t xml:space="preserve">A-4:  Any requests for accelerated distributions received prior to the time Enron filed its bankruptcy petition were reviewed based on provisions of the plan, pending business considerations, the company’s available liquidity, and the potential effect of bankruptcy laws on distributions from deferred compensation plans. </w:t>
      </w:r>
    </w:p>
    <w:p>
      <w:pPr>
        <w:pStyle w:val="Normal"/>
        <w:rPr/>
      </w:pPr>
      <w:r>
        <w:rPr/>
      </w:r>
    </w:p>
    <w:p>
      <w:pPr>
        <w:pStyle w:val="Normal"/>
        <w:ind w:firstLine="720" w:end="0"/>
        <w:rPr/>
      </w:pPr>
      <w:r>
        <w:rPr/>
        <w:t xml:space="preserve">Unfortunately, since the company has entered bankruptcy, no distributions may be made from the Deferral Plans without bankruptcy court approval.  Although the company would like to continue making payments under the Deferral Plans, the company is prohibited from doing so at this time.  </w:t>
      </w:r>
    </w:p>
    <w:p>
      <w:pPr>
        <w:pStyle w:val="Normal"/>
        <w:ind w:firstLine="720" w:end="0"/>
        <w:rPr/>
      </w:pPr>
      <w:r>
        <w:rPr/>
      </w:r>
    </w:p>
    <w:p>
      <w:pPr>
        <w:pStyle w:val="Normal"/>
        <w:numPr>
          <w:ilvl w:val="0"/>
          <w:numId w:val="0"/>
        </w:numPr>
        <w:ind w:firstLine="720" w:end="0"/>
        <w:outlineLvl w:val="0"/>
        <w:rPr/>
      </w:pPr>
      <w:r>
        <w:rPr/>
        <w:t>If you have unpaid deferral plan benefits, see Q&amp;A 2 above.</w:t>
      </w:r>
    </w:p>
    <w:p>
      <w:pPr>
        <w:pStyle w:val="Normal"/>
        <w:rPr/>
      </w:pPr>
      <w:r>
        <w:rPr/>
      </w:r>
    </w:p>
    <w:p>
      <w:pPr>
        <w:pStyle w:val="Normal"/>
        <w:rPr/>
      </w:pPr>
      <w:r>
        <w:rPr/>
        <w:t>Q-5.  I heard from a former colleague yesterday that the company was accepting and acting upon distribution requests from the 1994 Deferral Plan.  I have an account in the 1994 Deferral Plan and would like to know if I can qualify to receive a distribution?</w:t>
      </w:r>
    </w:p>
    <w:p>
      <w:pPr>
        <w:pStyle w:val="Normal"/>
        <w:rPr/>
      </w:pPr>
      <w:r>
        <w:rPr/>
      </w:r>
    </w:p>
    <w:p>
      <w:pPr>
        <w:pStyle w:val="Normal"/>
        <w:rPr/>
      </w:pPr>
      <w:r>
        <w:rPr/>
        <w:t xml:space="preserve">A-5:  Unfortunately, since the company has entered bankruptcy, no additional distributions may be made from the 1994 Deferral Plan without bankruptcy court approval.  Although the company would like to continue making payments under the 1994 Deferral Plan, it simply cannot at this time.  </w:t>
      </w:r>
    </w:p>
    <w:sectPr>
      <w:headerReference w:type="default" r:id="rId2"/>
      <w:headerReference w:type="first" r:id="rId3"/>
      <w:footerReference w:type="default" r:id="rId4"/>
      <w:footerReference w:type="first" r:id="rId5"/>
      <w:type w:val="nextPage"/>
      <w:pgSz w:w="12240" w:h="15840"/>
      <w:pgMar w:left="1800" w:right="1800" w:gutter="0" w:header="432" w:top="180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NY2:\1104398\01\N_5Q01!.DOC\43889.0003</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NY2:\1104398\01\N_5Q01!.DOC\43889.0003</w:t>
    </w:r>
    <w:r>
      <w:rPr>
        <w:rStyle w:val="TrailerWG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upperLetter"/>
      <w:lvlText w:val="%1."/>
      <w:lvlJc w:val="start"/>
      <w:pPr>
        <w:tabs>
          <w:tab w:val="num" w:pos="360"/>
        </w:tabs>
        <w:ind w:start="360" w:hanging="360"/>
      </w:pPr>
    </w:lvl>
  </w:abstractNum>
  <w:abstractNum w:abstractNumId="15">
    <w:lvl w:ilvl="0">
      <w:start w:val="1"/>
      <w:numFmt w:val="upperLetter"/>
      <w:lvlText w:val="%1."/>
      <w:lvlJc w:val="start"/>
      <w:pPr>
        <w:tabs>
          <w:tab w:val="num" w:pos="360"/>
        </w:tabs>
        <w:ind w:start="360" w:hanging="360"/>
      </w:pPr>
    </w:lvl>
  </w:abstractNum>
  <w:abstractNum w:abstractNumId="16">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TrailerWGM">
    <w:name w:val="Trailer WGM"/>
    <w:basedOn w:val="DefaultParagraphFont"/>
    <w:qFormat/>
    <w:rPr>
      <w:caps/>
      <w:sz w:val="14"/>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rFonts w:ascii="Times New Roman" w:hAnsi="Times New Roman" w:cs="Times New Roman"/>
      <w:color w:val="0000FF"/>
      <w:sz w:val="24"/>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12"/>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z w:val="24"/>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6"/>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4"/>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5"/>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3"/>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10"/>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US" w:eastAsia="en-CA" w:bidi="ar-SA"/>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EnvelopeReturn">
    <w:name w:val="envelope return"/>
    <w:basedOn w:val="Normal"/>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ListBullet21">
    <w:name w:val="List Bullet 21"/>
    <w:basedOn w:val="Normal"/>
    <w:qFormat/>
    <w:pPr>
      <w:numPr>
        <w:ilvl w:val="0"/>
        <w:numId w:val="9"/>
      </w:numPr>
      <w:spacing w:before="0" w:after="240"/>
      <w:ind w:hanging="720" w:start="1440" w:end="0"/>
    </w:pPr>
    <w:rPr/>
  </w:style>
  <w:style w:type="paragraph" w:styleId="DocumentMap">
    <w:name w:val="Document Map"/>
    <w:basedOn w:val="Normal"/>
    <w:qFormat/>
    <w:pPr>
      <w:shd w:fill="000080" w:val="clear"/>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2001-12-07T15:23:00Z</dcterms:created>
  <dc:creator>CLARKA</dc:creator>
  <dc:description/>
  <cp:keywords>DocsOpen Name: #1104398 v1 - Enron - Deferral Plan Q&amp;A (final)</cp:keywords>
  <dc:language>en-CA</dc:language>
  <cp:lastModifiedBy>pbutler</cp:lastModifiedBy>
  <cp:lastPrinted>2001-12-07T11:54:00Z</cp:lastPrinted>
  <dcterms:modified xsi:type="dcterms:W3CDTF">2001-12-07T15:31:00Z</dcterms:modified>
  <cp:revision>4</cp:revision>
  <dc:subject>DocsOpen Loc:G:\DATA\NY2\CLARKA\MISC\N_5Q01!.DOC</dc:subject>
  <dc:title>Local: C:\windows\TEMP\Deferral Plan QA (revised 12-6).doc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NY2:\1104398\01\N_5Q01!.DOC\43889.0003</vt:lpwstr>
  </property>
</Properties>
</file>