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keepLines/>
        <w:tabs>
          <w:tab w:val="clear" w:pos="4320"/>
          <w:tab w:val="clear" w:pos="8640"/>
        </w:tabs>
        <w:rPr/>
      </w:pPr>
      <w:r>
        <w:rPr/>
      </w:r>
    </w:p>
    <w:p>
      <w:pPr>
        <w:pStyle w:val="Header"/>
        <w:keepLines/>
        <w:tabs>
          <w:tab w:val="clear" w:pos="4320"/>
          <w:tab w:val="clear" w:pos="8640"/>
        </w:tabs>
        <w:rPr/>
      </w:pPr>
      <w:r>
        <w:rPr/>
      </w:r>
    </w:p>
    <w:p>
      <w:pPr>
        <w:pStyle w:val="Normal"/>
        <w:rPr/>
      </w:pPr>
      <w:r>
        <w:rPr/>
      </w:r>
    </w:p>
    <w:tbl>
      <w:tblPr>
        <w:tblW w:w="15344" w:type="dxa"/>
        <w:jc w:val="start"/>
        <w:tblInd w:w="0" w:type="dxa"/>
        <w:tblLayout w:type="fixed"/>
        <w:tblCellMar>
          <w:top w:w="0" w:type="dxa"/>
          <w:start w:w="108" w:type="dxa"/>
          <w:bottom w:w="0" w:type="dxa"/>
          <w:end w:w="108" w:type="dxa"/>
        </w:tblCellMar>
      </w:tblPr>
      <w:tblGrid>
        <w:gridCol w:w="738"/>
        <w:gridCol w:w="1887"/>
        <w:gridCol w:w="4"/>
        <w:gridCol w:w="2710"/>
        <w:gridCol w:w="4"/>
        <w:gridCol w:w="4281"/>
        <w:gridCol w:w="4"/>
        <w:gridCol w:w="5712"/>
        <w:gridCol w:w="4"/>
      </w:tblGrid>
      <w:tr>
        <w:trPr>
          <w:tblHeader w:val="true"/>
        </w:trPr>
        <w:tc>
          <w:tcPr>
            <w:tcW w:w="15344" w:type="dxa"/>
            <w:gridSpan w:val="8"/>
            <w:tcBorders>
              <w:top w:val="single" w:sz="4" w:space="0" w:color="000000"/>
              <w:start w:val="single" w:sz="4" w:space="0" w:color="000000"/>
              <w:bottom w:val="single" w:sz="4" w:space="0" w:color="000000"/>
              <w:end w:val="single" w:sz="4" w:space="0" w:color="000000"/>
            </w:tcBorders>
          </w:tcPr>
          <w:p>
            <w:pPr>
              <w:pStyle w:val="Heading1"/>
              <w:ind w:hanging="0" w:start="0"/>
              <w:jc w:val="center"/>
              <w:rPr>
                <w:b/>
                <w:sz w:val="24"/>
                <w:u w:val="none"/>
              </w:rPr>
            </w:pPr>
            <w:r>
              <w:rPr>
                <w:b/>
                <w:sz w:val="24"/>
                <w:u w:val="none"/>
              </w:rPr>
              <w:t>LNG Weekly Report</w:t>
            </w:r>
          </w:p>
          <w:p>
            <w:pPr>
              <w:pStyle w:val="Normal"/>
              <w:jc w:val="center"/>
              <w:rPr>
                <w:b/>
                <w:sz w:val="24"/>
              </w:rPr>
            </w:pPr>
            <w:r>
              <w:rPr>
                <w:b/>
                <w:sz w:val="24"/>
              </w:rPr>
              <w:t>Week Ending 09/07/01</w:t>
            </w:r>
          </w:p>
        </w:tc>
      </w:tr>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Responsible/Date</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Project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Description</w:t>
            </w:r>
          </w:p>
        </w:tc>
        <w:tc>
          <w:tcPr>
            <w:tcW w:w="571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Activity</w:t>
            </w:r>
          </w:p>
        </w:tc>
      </w:tr>
      <w:tr>
        <w:trPr>
          <w:trHeight w:val="400" w:hRule="atLeast"/>
        </w:trPr>
        <w:tc>
          <w:tcPr>
            <w:tcW w:w="738" w:type="dxa"/>
            <w:tcBorders>
              <w:start w:val="single" w:sz="4" w:space="0" w:color="000000"/>
              <w:bottom w:val="single" w:sz="4" w:space="0" w:color="000000"/>
            </w:tcBorders>
          </w:tcPr>
          <w:p>
            <w:pPr>
              <w:pStyle w:val="Header"/>
              <w:tabs>
                <w:tab w:val="clear" w:pos="4320"/>
                <w:tab w:val="clear" w:pos="8640"/>
              </w:tabs>
              <w:jc w:val="center"/>
              <w:rPr>
                <w:b/>
              </w:rPr>
            </w:pPr>
            <w:r>
              <w:rPr>
                <w:b/>
              </w:rPr>
              <w:t>A</w:t>
            </w:r>
          </w:p>
        </w:tc>
        <w:tc>
          <w:tcPr>
            <w:tcW w:w="1891" w:type="dxa"/>
            <w:gridSpan w:val="2"/>
            <w:tcBorders>
              <w:bottom w:val="single" w:sz="4" w:space="0" w:color="000000"/>
            </w:tcBorders>
          </w:tcPr>
          <w:p>
            <w:pPr>
              <w:pStyle w:val="Normal"/>
              <w:snapToGrid w:val="false"/>
              <w:jc w:val="center"/>
              <w:rPr>
                <w:b/>
              </w:rPr>
            </w:pPr>
            <w:r>
              <w:rPr>
                <w:b/>
              </w:rPr>
            </w:r>
          </w:p>
        </w:tc>
        <w:tc>
          <w:tcPr>
            <w:tcW w:w="2714" w:type="dxa"/>
            <w:gridSpan w:val="2"/>
            <w:tcBorders>
              <w:bottom w:val="single" w:sz="4" w:space="0" w:color="000000"/>
            </w:tcBorders>
          </w:tcPr>
          <w:p>
            <w:pPr>
              <w:pStyle w:val="Normal"/>
              <w:rPr>
                <w:b/>
              </w:rPr>
            </w:pPr>
            <w:r>
              <w:rPr>
                <w:b/>
              </w:rPr>
              <w:t>Eastern Hemisphere Origination</w:t>
            </w:r>
          </w:p>
        </w:tc>
        <w:tc>
          <w:tcPr>
            <w:tcW w:w="4285" w:type="dxa"/>
            <w:gridSpan w:val="2"/>
            <w:tcBorders>
              <w:bottom w:val="single" w:sz="4" w:space="0" w:color="000000"/>
            </w:tcBorders>
          </w:tcPr>
          <w:p>
            <w:pPr>
              <w:pStyle w:val="Header"/>
              <w:tabs>
                <w:tab w:val="clear" w:pos="4320"/>
                <w:tab w:val="clear" w:pos="8640"/>
              </w:tabs>
              <w:snapToGrid w:val="false"/>
              <w:rPr>
                <w:b/>
              </w:rPr>
            </w:pPr>
            <w:r>
              <w:rPr>
                <w:b/>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r>
              <w:rPr/>
              <w:t>Merchant Trading</w:t>
            </w:r>
          </w:p>
          <w:p>
            <w:pPr>
              <w:pStyle w:val="Normal"/>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ADGAS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6"/>
              </w:numPr>
              <w:tabs>
                <w:tab w:val="clear" w:pos="4320"/>
                <w:tab w:val="clear" w:pos="8640"/>
              </w:tabs>
              <w:rPr/>
            </w:pPr>
            <w:r>
              <w:rPr/>
              <w:t>Uncommitted capacity of 300,000 to        500,000 mta plus any unused DPC volumes (up to another 500,000 mta). Also ex-ship capacity subject to  TEPCO annual program.</w:t>
            </w:r>
          </w:p>
          <w:p>
            <w:pPr>
              <w:pStyle w:val="Header"/>
              <w:numPr>
                <w:ilvl w:val="0"/>
                <w:numId w:val="20"/>
              </w:numPr>
              <w:tabs>
                <w:tab w:val="clear" w:pos="4320"/>
                <w:tab w:val="clear" w:pos="8640"/>
              </w:tabs>
              <w:rPr/>
            </w:pPr>
            <w:r>
              <w:rPr/>
              <w:t>Master Ex-ship agreement in place.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0"/>
              </w:numPr>
              <w:rPr/>
            </w:pPr>
            <w:r>
              <w:rPr/>
              <w:t xml:space="preserve"> </w:t>
            </w:r>
            <w:r>
              <w:rPr/>
              <w:t>All terms and wording, except treatment of “failure to deliver”, finalized.</w:t>
            </w:r>
          </w:p>
          <w:p>
            <w:pPr>
              <w:pStyle w:val="Normal"/>
              <w:numPr>
                <w:ilvl w:val="0"/>
                <w:numId w:val="40"/>
              </w:numPr>
              <w:rPr/>
            </w:pPr>
            <w:r>
              <w:rPr/>
              <w:t>Arcos Term Sheet submitted 2/15.  Have advised Adgas that a revised term sheet will be submitted in the very near future to address revised  project timing and pricing.</w:t>
            </w:r>
          </w:p>
          <w:p>
            <w:pPr>
              <w:pStyle w:val="Normal"/>
              <w:numPr>
                <w:ilvl w:val="0"/>
                <w:numId w:val="40"/>
              </w:numPr>
              <w:rPr/>
            </w:pPr>
            <w:r>
              <w:rPr/>
              <w:t>General review meeting held with Adgas staff on Aug 6</w:t>
            </w:r>
            <w:r>
              <w:rPr>
                <w:vertAlign w:val="superscript"/>
              </w:rPr>
              <w:t>th</w:t>
            </w:r>
            <w:r>
              <w:rPr/>
              <w:t>.</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 xml:space="preserve">Oman LNG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
              </w:numPr>
              <w:tabs>
                <w:tab w:val="clear" w:pos="4320"/>
                <w:tab w:val="clear" w:pos="8640"/>
              </w:tabs>
              <w:rPr/>
            </w:pPr>
            <w:r>
              <w:rPr/>
              <w:t>OLNG has requested proposals for uncommitted capacity and from a proposed third train.</w:t>
            </w:r>
          </w:p>
          <w:p>
            <w:pPr>
              <w:pStyle w:val="Header"/>
              <w:numPr>
                <w:ilvl w:val="0"/>
                <w:numId w:val="4"/>
              </w:numPr>
              <w:tabs>
                <w:tab w:val="clear" w:pos="4320"/>
                <w:tab w:val="clear" w:pos="8640"/>
              </w:tabs>
              <w:rPr/>
            </w:pPr>
            <w:r>
              <w:rPr/>
              <w:t>Master FOB agreement in place.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Arcos Term Sheet submitted 2/15. Discussions on hold pending resolution of TPA issues in Spain.</w:t>
            </w:r>
          </w:p>
          <w:p>
            <w:pPr>
              <w:pStyle w:val="Normal"/>
              <w:numPr>
                <w:ilvl w:val="0"/>
                <w:numId w:val="40"/>
              </w:numPr>
              <w:rPr/>
            </w:pPr>
            <w:r>
              <w:rPr/>
              <w:t>Submitted proposal for FOB purchases on the Hoegh Galleon and Excalibur. Met with OLNG marketing team on Aug 22</w:t>
            </w:r>
            <w:r>
              <w:rPr>
                <w:vertAlign w:val="superscript"/>
              </w:rPr>
              <w:t>nd</w:t>
            </w:r>
            <w:r>
              <w:rPr/>
              <w:t xml:space="preserve"> to discuss short term opportunities. Volumes available are 450,000 mta in 2002 and 700-800,000 mta 2003-06. Draft HOA tabled.</w:t>
            </w:r>
          </w:p>
          <w:p>
            <w:pPr>
              <w:pStyle w:val="Normal"/>
              <w:numPr>
                <w:ilvl w:val="0"/>
                <w:numId w:val="40"/>
              </w:numPr>
              <w:rPr/>
            </w:pPr>
            <w:r>
              <w:rPr/>
              <w:t>K Acacia spot cargo loaded on July 27 for delivery to Lake Charles.</w:t>
            </w:r>
          </w:p>
          <w:p>
            <w:pPr>
              <w:pStyle w:val="Normal"/>
              <w:numPr>
                <w:ilvl w:val="0"/>
                <w:numId w:val="40"/>
              </w:numPr>
              <w:rPr/>
            </w:pPr>
            <w:r>
              <w:rPr/>
              <w:t xml:space="preserve">Unable to market Hanjin Muscat spot cargo into Europe.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RasGas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2"/>
              </w:numPr>
              <w:tabs>
                <w:tab w:val="clear" w:pos="4320"/>
                <w:tab w:val="clear" w:pos="8640"/>
              </w:tabs>
              <w:rPr/>
            </w:pPr>
            <w:r>
              <w:rPr/>
              <w:t xml:space="preserve">Uncommitted capacity of over 2 million tons from Ras Laffan and QatarGas plants.   </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Arcos Term Sheet submitted in late January. Follow up meetings will be scheduled when RasGas staff return from summer leave.</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A.1.d</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Japanese Trading Companies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1"/>
              </w:numPr>
              <w:tabs>
                <w:tab w:val="clear" w:pos="4320"/>
                <w:tab w:val="clear" w:pos="8640"/>
              </w:tabs>
              <w:rPr/>
            </w:pPr>
            <w:r>
              <w:rPr/>
              <w:t xml:space="preserve">Expand close relationships with Mitsubishi and Nissho Iwai into formal agreements for merchant transactions. </w:t>
            </w:r>
          </w:p>
          <w:p>
            <w:pPr>
              <w:pStyle w:val="Header"/>
              <w:numPr>
                <w:ilvl w:val="0"/>
                <w:numId w:val="41"/>
              </w:numPr>
              <w:tabs>
                <w:tab w:val="clear" w:pos="4320"/>
                <w:tab w:val="clear" w:pos="8640"/>
              </w:tabs>
              <w:rPr/>
            </w:pPr>
            <w:r>
              <w:rPr/>
              <w:t>Further develop new relationships with Itochu and Mitsui.</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pPr>
            <w:r>
              <w:rPr>
                <w:b/>
              </w:rPr>
              <w:t>Nissho Iwai</w:t>
            </w:r>
            <w:r>
              <w:rPr/>
              <w:t>:  Next meeting on master spot contract and West Coast LNG projects will be held mid-September within larger framework of Enron-NIC cooperation.</w:t>
            </w:r>
          </w:p>
          <w:p>
            <w:pPr>
              <w:pStyle w:val="Normal"/>
              <w:numPr>
                <w:ilvl w:val="0"/>
                <w:numId w:val="17"/>
              </w:numPr>
              <w:rPr/>
            </w:pPr>
            <w:r>
              <w:rPr>
                <w:b/>
              </w:rPr>
              <w:t>Mitsubishi</w:t>
            </w:r>
            <w:r>
              <w:rPr/>
              <w:t>:   Discussing possible areas of cooperation in merchant LNG trading activities.  Draft CA sent out last week.  Ex-ship version of master spot contract under review by Mitsubishi.</w:t>
            </w:r>
          </w:p>
          <w:p>
            <w:pPr>
              <w:pStyle w:val="Normal"/>
              <w:numPr>
                <w:ilvl w:val="0"/>
                <w:numId w:val="17"/>
              </w:numPr>
              <w:rPr/>
            </w:pPr>
            <w:r>
              <w:rPr>
                <w:b/>
              </w:rPr>
              <w:t>Itochu</w:t>
            </w:r>
            <w:r>
              <w:rPr/>
              <w:t>:  Itochu is still reviewing Enron-tabled master contracts.</w:t>
            </w:r>
          </w:p>
          <w:p>
            <w:pPr>
              <w:pStyle w:val="Normal"/>
              <w:numPr>
                <w:ilvl w:val="0"/>
                <w:numId w:val="17"/>
              </w:numPr>
              <w:rPr/>
            </w:pPr>
            <w:r>
              <w:rPr>
                <w:b/>
              </w:rPr>
              <w:t>Mitsui</w:t>
            </w:r>
            <w:r>
              <w:rPr/>
              <w:t>:  Next meeting on Enron-tabled master ex-ship contract (Enron as Buyer) to be held in mid-September.</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A.1.e</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/Sept 07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North West Shelf/Australia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5"/>
              </w:numPr>
              <w:tabs>
                <w:tab w:val="clear" w:pos="4320"/>
                <w:tab w:val="clear" w:pos="8640"/>
              </w:tabs>
              <w:rPr/>
            </w:pPr>
            <w:r>
              <w:rPr/>
              <w:t>Purchase of LNG for West Coast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We have suspended discussion of Master Agreement as NWS does not anticipate any spot cargo availability in ’02 or ’03.</w:t>
            </w:r>
          </w:p>
          <w:p>
            <w:pPr>
              <w:pStyle w:val="Normal"/>
              <w:numPr>
                <w:ilvl w:val="0"/>
                <w:numId w:val="40"/>
              </w:numPr>
              <w:rPr/>
            </w:pPr>
            <w:r>
              <w:rPr/>
              <w:t xml:space="preserve">Main focus of activity with NWS will now be potential purchase of LNG fro West Coast.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A.1.f</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Sept 07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Pertamina Master Agreement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4"/>
              </w:numPr>
              <w:rPr/>
            </w:pPr>
            <w:r>
              <w:rPr/>
              <w:t xml:space="preserve">Bontang has uncommitted capacity of over 2 million tons. </w:t>
            </w:r>
          </w:p>
          <w:p>
            <w:pPr>
              <w:pStyle w:val="Normal"/>
              <w:numPr>
                <w:ilvl w:val="0"/>
                <w:numId w:val="34"/>
              </w:numPr>
              <w:rPr/>
            </w:pPr>
            <w:r>
              <w:rPr/>
              <w:t>Potential supplier of spot cargoes in ’02 and supply for West coast US project.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PT Arun likely to start by 13</w:t>
            </w:r>
            <w:r>
              <w:rPr>
                <w:vertAlign w:val="superscript"/>
              </w:rPr>
              <w:t>th</w:t>
            </w:r>
            <w:r>
              <w:rPr/>
              <w:t xml:space="preserve"> Aug. </w:t>
            </w:r>
          </w:p>
          <w:p>
            <w:pPr>
              <w:pStyle w:val="Normal"/>
              <w:numPr>
                <w:ilvl w:val="0"/>
                <w:numId w:val="40"/>
              </w:numPr>
              <w:rPr/>
            </w:pPr>
            <w:r>
              <w:rPr/>
              <w:t>Change in Pertamina org: Mr Javed Sumbung taking over the LNG dept, starting September</w:t>
            </w:r>
          </w:p>
          <w:p>
            <w:pPr>
              <w:pStyle w:val="Normal"/>
              <w:numPr>
                <w:ilvl w:val="0"/>
                <w:numId w:val="40"/>
              </w:numPr>
              <w:rPr/>
            </w:pPr>
            <w:r>
              <w:rPr/>
              <w:t>Will be issuing a revised draft to Pertamina and Bontang PSC’s in mid September.</w:t>
            </w:r>
          </w:p>
          <w:p>
            <w:pPr>
              <w:pStyle w:val="Normal"/>
              <w:numPr>
                <w:ilvl w:val="0"/>
                <w:numId w:val="40"/>
              </w:numPr>
              <w:rPr/>
            </w:pPr>
            <w:r>
              <w:rPr/>
              <w:t>Next meeting to discuss Master Agreement on a more formal basis with Pertamina &amp; the PSCs will occur in Sept.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 xml:space="preserve">A.1.g </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/Sept 07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MLNG/Malaysia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1"/>
              </w:numPr>
              <w:tabs>
                <w:tab w:val="clear" w:pos="4320"/>
                <w:tab w:val="clear" w:pos="8640"/>
              </w:tabs>
              <w:rPr/>
            </w:pPr>
            <w:r>
              <w:rPr/>
              <w:t>Spot Cargoes Purchase in 02</w:t>
            </w:r>
          </w:p>
          <w:p>
            <w:pPr>
              <w:pStyle w:val="Header"/>
              <w:numPr>
                <w:ilvl w:val="0"/>
                <w:numId w:val="21"/>
              </w:numPr>
              <w:tabs>
                <w:tab w:val="clear" w:pos="4320"/>
                <w:tab w:val="clear" w:pos="8640"/>
              </w:tabs>
              <w:rPr/>
            </w:pPr>
            <w:r>
              <w:rPr/>
              <w:t>West Coast USA LNG Purchase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Revised draft sent to MLNG for their review on Sep 07</w:t>
            </w:r>
          </w:p>
          <w:p>
            <w:pPr>
              <w:pStyle w:val="Normal"/>
              <w:rPr/>
            </w:pPr>
            <w:r>
              <w:rPr/>
              <w:t xml:space="preserv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A.1.h</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Sept 07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KOGAS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KOGAS merchant opportunities</w:t>
            </w:r>
          </w:p>
          <w:p>
            <w:pPr>
              <w:pStyle w:val="Normal"/>
              <w:numPr>
                <w:ilvl w:val="0"/>
                <w:numId w:val="6"/>
              </w:numPr>
              <w:rPr/>
            </w:pPr>
            <w:r>
              <w:rPr/>
              <w:t>Sale of spot cargoes in winter 2001 period</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Met with Kogas in mid June, no major issues regarding the forwarded Master Spot Agreement  Next meeting to discuss Master will be in late Sep.  Main issue is being able to procure middle east LNG with destination rights to Korea.</w:t>
            </w:r>
          </w:p>
          <w:p>
            <w:pPr>
              <w:pStyle w:val="Normal"/>
              <w:numPr>
                <w:ilvl w:val="0"/>
                <w:numId w:val="9"/>
              </w:numPr>
              <w:rPr/>
            </w:pPr>
            <w:r>
              <w:rPr/>
              <w:t xml:space="preserve">Meeting KOGAS EVP in mid September to discuss merchant purchases.  </w:t>
            </w:r>
          </w:p>
        </w:tc>
      </w:tr>
      <w:tr>
        <w:trPr>
          <w:trHeight w:val="15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A.1.i</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Gerych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keepNext w:val="false"/>
              <w:ind w:start="0" w:end="0"/>
              <w:rPr>
                <w:rFonts w:ascii="Times New Roman" w:hAnsi="Times New Roman" w:cs="Times New Roman"/>
              </w:rPr>
            </w:pPr>
            <w:r>
              <w:rPr>
                <w:rFonts w:cs="Times New Roman" w:ascii="Times New Roman" w:hAnsi="Times New Roman"/>
              </w:rPr>
              <w:t>Osaka Gas Merchant Opportunities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BodyTextIndent3"/>
              <w:numPr>
                <w:ilvl w:val="0"/>
                <w:numId w:val="27"/>
              </w:numPr>
              <w:rPr/>
            </w:pPr>
            <w:r>
              <w:rPr/>
              <w:t>Diversion/repurchase of three OG excess cargoes from OLNG in winter 2001/2 period</w:t>
            </w:r>
          </w:p>
          <w:p>
            <w:pPr>
              <w:pStyle w:val="Normal"/>
              <w:numPr>
                <w:ilvl w:val="0"/>
                <w:numId w:val="27"/>
              </w:numPr>
              <w:rPr/>
            </w:pPr>
            <w:r>
              <w:rPr/>
              <w:t>Operational agreement to share LNG shipping and storage</w:t>
            </w:r>
          </w:p>
          <w:p>
            <w:pPr>
              <w:pStyle w:val="Normal"/>
              <w:numPr>
                <w:ilvl w:val="0"/>
                <w:numId w:val="27"/>
              </w:numPr>
              <w:rPr/>
            </w:pPr>
            <w:r>
              <w:rPr/>
              <w:t>Swap for Middle East/Japan LNG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6"/>
              </w:numPr>
              <w:tabs>
                <w:tab w:val="clear" w:pos="4320"/>
                <w:tab w:val="clear" w:pos="8640"/>
              </w:tabs>
              <w:rPr/>
            </w:pPr>
            <w:r>
              <w:rPr/>
              <w:t>Prospects for a three-cargo diversion later this year seem remote.  Developing strategy for continuing relationship.</w:t>
            </w:r>
          </w:p>
          <w:p>
            <w:pPr>
              <w:pStyle w:val="Header"/>
              <w:numPr>
                <w:ilvl w:val="0"/>
                <w:numId w:val="36"/>
              </w:numPr>
              <w:tabs>
                <w:tab w:val="clear" w:pos="4320"/>
                <w:tab w:val="clear" w:pos="8640"/>
              </w:tabs>
              <w:rPr/>
            </w:pPr>
            <w:r>
              <w:rPr/>
              <w:t>Draft CA sent out last week.</w:t>
            </w:r>
          </w:p>
          <w:p>
            <w:pPr>
              <w:pStyle w:val="Header"/>
              <w:tabs>
                <w:tab w:val="clear" w:pos="4320"/>
                <w:tab w:val="clear" w:pos="8640"/>
              </w:tabs>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DPC LNG Supply</w:t>
            </w:r>
          </w:p>
          <w:p>
            <w:pPr>
              <w:pStyle w:val="Heading3"/>
              <w:ind w:hanging="0" w:start="0"/>
              <w:rPr>
                <w:rFonts w:ascii="Times New Roman" w:hAnsi="Times New Roman" w:cs="Times New Roman"/>
              </w:rPr>
            </w:pPr>
            <w:r>
              <w:rPr>
                <w:rFonts w:cs="Times New Roman" w:ascii="Times New Roman" w:hAnsi="Times New Roman"/>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27" w:end="0"/>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9"/>
              </w:numPr>
              <w:rPr/>
            </w:pPr>
            <w:r>
              <w:rPr/>
              <w:t>MSEB has rescinded the PPA and stopped dispatching power on May 29</w:t>
            </w:r>
            <w:r>
              <w:rPr>
                <w:vertAlign w:val="superscript"/>
              </w:rPr>
              <w:t>th</w:t>
            </w:r>
            <w:r>
              <w:rPr/>
              <w:t>. DPC issued the Preliminary Termination Notice on May 19</w:t>
            </w:r>
            <w:r>
              <w:rPr>
                <w:vertAlign w:val="superscript"/>
              </w:rPr>
              <w:t>th</w:t>
            </w:r>
            <w:r>
              <w:rPr/>
              <w:t xml:space="preserve"> triggering a six month cure period. </w:t>
            </w:r>
          </w:p>
          <w:p>
            <w:pPr>
              <w:pStyle w:val="Normal"/>
              <w:numPr>
                <w:ilvl w:val="0"/>
                <w:numId w:val="19"/>
              </w:numPr>
              <w:rPr/>
            </w:pPr>
            <w:r>
              <w:rPr/>
              <w:t>GOI is discussing possible “buy-out” of Enron, Bectel, and GE interests in Dabhol.</w:t>
            </w:r>
          </w:p>
          <w:p>
            <w:pPr>
              <w:pStyle w:val="Normal"/>
              <w:rPr/>
            </w:pPr>
            <w:r>
              <w:rPr/>
            </w:r>
          </w:p>
          <w:p>
            <w:pPr>
              <w:pStyle w:val="Normal"/>
              <w:rPr/>
            </w:pPr>
            <w:r>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Arbitration proceedings with GoM and GoI are in progress. Petition has been filed with Indian Supreme Court seeking a ruling on the jurisdiction of MERC.</w:t>
            </w:r>
          </w:p>
          <w:p>
            <w:pPr>
              <w:pStyle w:val="Normal"/>
              <w:numPr>
                <w:ilvl w:val="0"/>
                <w:numId w:val="40"/>
              </w:numPr>
              <w:rPr/>
            </w:pPr>
            <w:r>
              <w:rPr/>
              <w:t xml:space="preserve">Supreme Court sent case back to Mumbai High Court for a ruling on MERC jurisdiction.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Oman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5"/>
              </w:numPr>
              <w:rPr/>
            </w:pPr>
            <w:r>
              <w:rPr/>
              <w:t>LNG supply for 1.6 mmta</w:t>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DPC met with OLNG in Dubai on July 19</w:t>
            </w:r>
            <w:r>
              <w:rPr>
                <w:vertAlign w:val="superscript"/>
              </w:rPr>
              <w:t>th</w:t>
            </w:r>
            <w:r>
              <w:rPr/>
              <w:t xml:space="preserve"> and advised OLNG there would be at least a one year delay in the start up of Dabhol. Contractual remedies were not discussed. Working with DPC to prepare a written proposal to DPC on potential mitigation scenarios. </w:t>
            </w:r>
          </w:p>
          <w:p>
            <w:pPr>
              <w:pStyle w:val="Normal"/>
              <w:numPr>
                <w:ilvl w:val="0"/>
                <w:numId w:val="40"/>
              </w:numPr>
              <w:rPr/>
            </w:pPr>
            <w:r>
              <w:rPr/>
              <w:t>OLNG has sent letter requesting that DPC provide a formal position with respect to offtake. Situation needs prompt action to prevent damaging Global LNG relationship with OLNG.  Met OLNG on  August 20</w:t>
            </w:r>
            <w:r>
              <w:rPr>
                <w:vertAlign w:val="superscript"/>
              </w:rPr>
              <w:t>th</w:t>
            </w:r>
            <w:r>
              <w:rPr/>
              <w:t xml:space="preserve"> in London. DPC provided update but was unable to agree any formal revisions to the SPA subject to MSEB consent (MSEB has been asked to provide consent to suspending the SPA).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ADGAS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rPr/>
            </w:pPr>
            <w:r>
              <w:rPr/>
              <w:t>LNG supply for 0.48 mmta</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Met with Adgas on Aug 5th to provide update. DPC need to send letter pursuant to SPA providing early warning of situation.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Merchant Trading</w:t>
            </w:r>
          </w:p>
          <w:p>
            <w:pPr>
              <w:pStyle w:val="Heading5"/>
              <w:ind w:hanging="0" w:start="0"/>
              <w:jc w:val="start"/>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720" w:end="0"/>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Enron Japan/ EPower</w:t>
            </w:r>
          </w:p>
          <w:p>
            <w:pPr>
              <w:pStyle w:val="Normal"/>
              <w:numPr>
                <w:ilvl w:val="0"/>
                <w:numId w:val="25"/>
              </w:numPr>
              <w:rPr/>
            </w:pPr>
            <w:r>
              <w:rPr/>
              <w:t>Work with E Power and Enron Japan on merchant terminal opportunities.  Provide LNG origination for any requirements.</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pPr>
            <w:r>
              <w:rPr/>
              <w:t>Evaluating opportunity to work with NIC to jointly develop LNG opportunities in Japan.</w:t>
            </w:r>
          </w:p>
          <w:p>
            <w:pPr>
              <w:pStyle w:val="Normal"/>
              <w:numPr>
                <w:ilvl w:val="0"/>
                <w:numId w:val="40"/>
              </w:numPr>
              <w:rPr/>
            </w:pPr>
            <w:r>
              <w:rPr/>
              <w:t>Conducted video conference with EJ and NIC on Aug 2</w:t>
            </w:r>
            <w:r>
              <w:rPr>
                <w:vertAlign w:val="superscript"/>
              </w:rPr>
              <w:t>nd</w:t>
            </w:r>
            <w:r>
              <w:rPr/>
              <w:t xml:space="preserve"> to discuss possibility of joint cooperation on the UF/E LNG project in Egypt.  CA executed, waiting on data package.</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A.3.b</w:t>
            </w:r>
          </w:p>
          <w:p>
            <w:pPr>
              <w:pStyle w:val="Heading5"/>
              <w:keepNext w:val="false"/>
              <w:ind w:hanging="0" w:start="0"/>
              <w:rPr/>
            </w:pPr>
            <w:r>
              <w:rPr/>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Mikawa Bay LNG: </w:t>
            </w:r>
          </w:p>
          <w:p>
            <w:pPr>
              <w:pStyle w:val="Normal"/>
              <w:rPr>
                <w:b/>
              </w:rPr>
            </w:pPr>
            <w:r>
              <w:rPr>
                <w:b/>
              </w:rPr>
              <w:t>1. Terminal/IPP Opportunity in Japan</w:t>
            </w:r>
          </w:p>
          <w:p>
            <w:pPr>
              <w:pStyle w:val="Normal"/>
              <w:rPr>
                <w:b/>
              </w:rPr>
            </w:pPr>
            <w:r>
              <w:rPr>
                <w:b/>
              </w:rPr>
              <w:t>2. BHP Billiton LNG Supply</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Secure access to LNG receiving terminal in Mikawa Bay in Central Japan and to other terminals under development by E Power</w:t>
            </w:r>
          </w:p>
          <w:p>
            <w:pPr>
              <w:pStyle w:val="Normal"/>
              <w:numPr>
                <w:ilvl w:val="0"/>
                <w:numId w:val="29"/>
              </w:numPr>
              <w:rPr/>
            </w:pPr>
            <w:r>
              <w:rPr/>
              <w:t>Develop LNG supply opportunity from BHP Billiton’s Scarborough and Macedon fields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0"/>
              </w:numPr>
              <w:tabs>
                <w:tab w:val="clear" w:pos="720"/>
              </w:tabs>
              <w:rPr/>
            </w:pPr>
            <w:r>
              <w:rPr/>
              <w:t>Feasibility study by E Power to be issued later this week.  Term sheet negotiations on land acquisition with Mitsui Chemicals to start by end of August.</w:t>
            </w:r>
          </w:p>
          <w:p>
            <w:pPr>
              <w:pStyle w:val="Normal"/>
              <w:numPr>
                <w:ilvl w:val="0"/>
                <w:numId w:val="40"/>
              </w:numPr>
              <w:tabs>
                <w:tab w:val="clear" w:pos="720"/>
              </w:tabs>
              <w:rPr/>
            </w:pPr>
            <w:r>
              <w:rPr/>
              <w:t>Draft term sheet under review by BHP Billiton (possible supply of up to 3 MMTA to Enron Global LNG with worldwide destination rights; start date of 2007 to coincide with COD of energy projects in Japan or elsewhere)</w:t>
            </w:r>
          </w:p>
          <w:p>
            <w:pPr>
              <w:pStyle w:val="Normal"/>
              <w:numPr>
                <w:ilvl w:val="0"/>
                <w:numId w:val="40"/>
              </w:numPr>
              <w:tabs>
                <w:tab w:val="clear" w:pos="720"/>
              </w:tabs>
              <w:rPr/>
            </w:pPr>
            <w:r>
              <w:rPr/>
              <w:t>Meeting with BHP Billiton scheduled for September 24.</w:t>
            </w:r>
          </w:p>
          <w:p>
            <w:pPr>
              <w:pStyle w:val="Normal"/>
              <w:rPr/>
            </w:pPr>
            <w:r>
              <w:rPr/>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A.3.c</w:t>
            </w:r>
          </w:p>
        </w:tc>
        <w:tc>
          <w:tcPr>
            <w:tcW w:w="1887" w:type="dxa"/>
            <w:tcBorders>
              <w:start w:val="single" w:sz="4" w:space="0" w:color="000000"/>
              <w:bottom w:val="single" w:sz="4" w:space="0" w:color="000000"/>
              <w:end w:val="single" w:sz="4" w:space="0" w:color="000000"/>
            </w:tcBorders>
          </w:tcPr>
          <w:p>
            <w:pPr>
              <w:pStyle w:val="Normal"/>
              <w:jc w:val="center"/>
              <w:rPr/>
            </w:pPr>
            <w:r>
              <w:rPr/>
              <w:t>Rao/Sept 07</w:t>
            </w:r>
          </w:p>
        </w:tc>
        <w:tc>
          <w:tcPr>
            <w:tcW w:w="2714" w:type="dxa"/>
            <w:gridSpan w:val="2"/>
            <w:tcBorders>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Nissho Iwai Partnership</w:t>
            </w:r>
          </w:p>
        </w:tc>
        <w:tc>
          <w:tcPr>
            <w:tcW w:w="4285" w:type="dxa"/>
            <w:gridSpan w:val="2"/>
            <w:tcBorders>
              <w:start w:val="single" w:sz="4" w:space="0" w:color="000000"/>
              <w:bottom w:val="single" w:sz="4" w:space="0" w:color="000000"/>
              <w:end w:val="single" w:sz="4" w:space="0" w:color="000000"/>
            </w:tcBorders>
          </w:tcPr>
          <w:p>
            <w:pPr>
              <w:pStyle w:val="Normal"/>
              <w:numPr>
                <w:ilvl w:val="0"/>
                <w:numId w:val="8"/>
              </w:numPr>
              <w:rPr/>
            </w:pPr>
            <w:r>
              <w:rPr/>
              <w:t xml:space="preserve">Supporting Enron Japan’s efforts to facilitate a strategic partnership with Nissho Iwai of Japan.  Specifically, utilizing NI relationship to penetrate Japanese LNG market and leverage off their asset positions for Global LNG objectives.  </w:t>
            </w:r>
          </w:p>
          <w:p>
            <w:pPr>
              <w:pStyle w:val="Header"/>
              <w:tabs>
                <w:tab w:val="clear" w:pos="4320"/>
                <w:tab w:val="clear" w:pos="8640"/>
              </w:tabs>
              <w:rPr/>
            </w:pPr>
            <w:r>
              <w:rPr/>
            </w:r>
          </w:p>
        </w:tc>
        <w:tc>
          <w:tcPr>
            <w:tcW w:w="5716" w:type="dxa"/>
            <w:gridSpan w:val="2"/>
            <w:tcBorders>
              <w:start w:val="single" w:sz="4" w:space="0" w:color="000000"/>
              <w:bottom w:val="single" w:sz="4" w:space="0" w:color="000000"/>
              <w:end w:val="single" w:sz="4" w:space="0" w:color="000000"/>
            </w:tcBorders>
          </w:tcPr>
          <w:p>
            <w:pPr>
              <w:pStyle w:val="Normal"/>
              <w:numPr>
                <w:ilvl w:val="0"/>
                <w:numId w:val="8"/>
              </w:numPr>
              <w:rPr/>
            </w:pPr>
            <w:r>
              <w:rPr/>
              <w:t>Presentation given to Nissho Iwai on July 13</w:t>
            </w:r>
            <w:r>
              <w:rPr>
                <w:vertAlign w:val="superscript"/>
              </w:rPr>
              <w:t>th</w:t>
            </w:r>
            <w:r>
              <w:rPr/>
              <w:t>.  Several potential opportunities identified including LNG wholesale merchant activities, Jcc hedging for Japanese customers, sub-chartering of capacity on vessels controlled by NI.</w:t>
            </w:r>
          </w:p>
          <w:p>
            <w:pPr>
              <w:pStyle w:val="Normal"/>
              <w:numPr>
                <w:ilvl w:val="0"/>
                <w:numId w:val="8"/>
              </w:numPr>
              <w:rPr/>
            </w:pPr>
            <w:r>
              <w:rPr/>
              <w:t>Currently conceptualizing business opportunities with NIC and iterating with working level staff.  Meeting held on Aug 30 to refine possibilities.  Next working level meeting set for Sep 11.  Senior level meeting set for Sep 20.</w:t>
            </w:r>
          </w:p>
          <w:p>
            <w:pPr>
              <w:pStyle w:val="Normal"/>
              <w:numPr>
                <w:ilvl w:val="0"/>
                <w:numId w:val="8"/>
              </w:numPr>
              <w:rPr/>
            </w:pPr>
            <w:r>
              <w:rPr/>
              <w:t xml:space="preserve">Nissho is in final stages of closing JV with Sumitomo and operations will begin October 1.  Substantive discussions on LNG will only begin after that.  Discussions between now and then will be primarily informal.  </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A.4</w:t>
            </w:r>
          </w:p>
        </w:tc>
        <w:tc>
          <w:tcPr>
            <w:tcW w:w="1887" w:type="dxa"/>
            <w:tcBorders>
              <w:start w:val="single" w:sz="4" w:space="0" w:color="000000"/>
              <w:bottom w:val="single" w:sz="4" w:space="0" w:color="000000"/>
              <w:end w:val="single" w:sz="4" w:space="0" w:color="000000"/>
            </w:tcBorders>
          </w:tcPr>
          <w:p>
            <w:pPr>
              <w:pStyle w:val="Normal"/>
              <w:jc w:val="center"/>
              <w:rPr/>
            </w:pPr>
            <w:r>
              <w:rPr/>
              <w:t>Rao/Sept 07</w:t>
            </w:r>
          </w:p>
        </w:tc>
        <w:tc>
          <w:tcPr>
            <w:tcW w:w="2714" w:type="dxa"/>
            <w:gridSpan w:val="2"/>
            <w:tcBorders>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South Korea LNG Terminal</w:t>
            </w:r>
          </w:p>
        </w:tc>
        <w:tc>
          <w:tcPr>
            <w:tcW w:w="4285" w:type="dxa"/>
            <w:gridSpan w:val="2"/>
            <w:tcBorders>
              <w:start w:val="single" w:sz="4" w:space="0" w:color="000000"/>
              <w:bottom w:val="single" w:sz="4" w:space="0" w:color="000000"/>
              <w:end w:val="single" w:sz="4" w:space="0" w:color="000000"/>
            </w:tcBorders>
          </w:tcPr>
          <w:p>
            <w:pPr>
              <w:pStyle w:val="Header"/>
              <w:numPr>
                <w:ilvl w:val="0"/>
                <w:numId w:val="5"/>
              </w:numPr>
              <w:tabs>
                <w:tab w:val="clear" w:pos="4320"/>
                <w:tab w:val="clear" w:pos="8640"/>
              </w:tabs>
              <w:rPr/>
            </w:pPr>
            <w:r>
              <w:rPr/>
              <w:t>Potential LNG terminal opportunity between SK-Enron and POSCO is southern part of peninsula</w:t>
            </w:r>
          </w:p>
        </w:tc>
        <w:tc>
          <w:tcPr>
            <w:tcW w:w="5716" w:type="dxa"/>
            <w:gridSpan w:val="2"/>
            <w:tcBorders>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numPr>
                <w:ilvl w:val="0"/>
                <w:numId w:val="18"/>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Meeting with POSCO conducted on Aug 24. POSCO has shown some interest and will revert with a detailed response to our proposal shortly.</w:t>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B</w:t>
            </w:r>
          </w:p>
        </w:tc>
        <w:tc>
          <w:tcPr>
            <w:tcW w:w="1891" w:type="dxa"/>
            <w:gridSpan w:val="2"/>
            <w:tcBorders>
              <w:bottom w:val="single" w:sz="4" w:space="0" w:color="000000"/>
            </w:tcBorders>
          </w:tcPr>
          <w:p>
            <w:pPr>
              <w:pStyle w:val="Normal"/>
              <w:keepLines/>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Atlantic Basin</w:t>
            </w:r>
          </w:p>
        </w:tc>
        <w:tc>
          <w:tcPr>
            <w:tcW w:w="4285" w:type="dxa"/>
            <w:gridSpan w:val="2"/>
            <w:tcBorders>
              <w:bottom w:val="single" w:sz="4" w:space="0" w:color="000000"/>
            </w:tcBorders>
          </w:tcPr>
          <w:p>
            <w:pPr>
              <w:pStyle w:val="Normal"/>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Arnell / Sept 07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b w:val="false"/>
              </w:rPr>
            </w:pPr>
            <w:r>
              <w:rPr>
                <w:rFonts w:cs="Times New Roman" w:ascii="Times New Roman" w:hAnsi="Times New Roman"/>
              </w:rPr>
              <w:t xml:space="preserve">Grand Bahama LNG Terminal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0"/>
              </w:numPr>
              <w:tabs>
                <w:tab w:val="clear" w:pos="720"/>
              </w:tabs>
              <w:rPr/>
            </w:pPr>
            <w:r>
              <w:rPr/>
              <w:t xml:space="preserve">LNG terminal located in Freeport, Grand Bahama and 96-mile natural gas pipeline from Grand Bahama to an FGT interconnect in Broward County, FL (Port Everglades/Fort Lauderdale area). </w:t>
            </w:r>
          </w:p>
          <w:p>
            <w:pPr>
              <w:pStyle w:val="Normal"/>
              <w:numPr>
                <w:ilvl w:val="0"/>
                <w:numId w:val="30"/>
              </w:numPr>
              <w:tabs>
                <w:tab w:val="clear" w:pos="720"/>
              </w:tabs>
              <w:rPr/>
            </w:pPr>
            <w:r>
              <w:rPr/>
              <w:t>Initial throughput of terminal (target) = 500 MMSCFD</w:t>
            </w:r>
          </w:p>
          <w:p>
            <w:pPr>
              <w:pStyle w:val="Normal"/>
              <w:numPr>
                <w:ilvl w:val="0"/>
                <w:numId w:val="30"/>
              </w:numPr>
              <w:tabs>
                <w:tab w:val="clear" w:pos="720"/>
              </w:tabs>
              <w:rPr/>
            </w:pPr>
            <w:r>
              <w:rPr/>
              <w:t>Pipeline size = NPS 24</w:t>
            </w:r>
          </w:p>
          <w:p>
            <w:pPr>
              <w:pStyle w:val="Normal"/>
              <w:numPr>
                <w:ilvl w:val="0"/>
                <w:numId w:val="30"/>
              </w:numPr>
              <w:tabs>
                <w:tab w:val="clear" w:pos="720"/>
              </w:tabs>
              <w:rPr/>
            </w:pPr>
            <w:r>
              <w:rPr/>
              <w:t>Total Project Cost = $500 MM (terminal plus pipeline, includes soft costs)</w:t>
            </w:r>
          </w:p>
          <w:p>
            <w:pPr>
              <w:pStyle w:val="Normal"/>
              <w:rPr/>
            </w:pPr>
            <w:r>
              <w:rPr/>
            </w:r>
          </w:p>
          <w:p>
            <w:pPr>
              <w:pStyle w:val="Heading2"/>
              <w:rPr/>
            </w:pPr>
            <w:r>
              <w:rPr/>
              <w:t>Project milestones</w:t>
            </w:r>
          </w:p>
          <w:p>
            <w:pPr>
              <w:pStyle w:val="Normal"/>
              <w:tabs>
                <w:tab w:val="clear" w:pos="720"/>
                <w:tab w:val="left" w:pos="4428" w:leader="none"/>
                <w:tab w:val="left" w:pos="6138" w:leader="none"/>
                <w:tab w:val="left" w:pos="7794" w:leader="none"/>
              </w:tabs>
              <w:ind w:start="-72" w:end="0"/>
              <w:rPr/>
            </w:pPr>
            <w:r>
              <w:rPr/>
              <w:t>Early completion</w:t>
              <w:tab/>
              <w:t>Late completion</w:t>
            </w:r>
          </w:p>
          <w:p>
            <w:pPr>
              <w:pStyle w:val="Normal"/>
              <w:numPr>
                <w:ilvl w:val="0"/>
                <w:numId w:val="30"/>
              </w:numPr>
              <w:tabs>
                <w:tab w:val="clear" w:pos="720"/>
              </w:tabs>
              <w:ind w:hanging="306" w:start="306" w:end="0"/>
              <w:rPr/>
            </w:pPr>
            <w:r>
              <w:rPr/>
              <w:t>Submitted FERC permit application</w:t>
            </w:r>
          </w:p>
          <w:p>
            <w:pPr>
              <w:pStyle w:val="Header"/>
              <w:tabs>
                <w:tab w:val="clear" w:pos="4320"/>
                <w:tab w:val="clear" w:pos="8640"/>
              </w:tabs>
              <w:ind w:start="306" w:end="0"/>
              <w:rPr/>
            </w:pPr>
            <w:r>
              <w:rPr/>
              <w:t>-      19JUL01</w:t>
            </w:r>
          </w:p>
          <w:p>
            <w:pPr>
              <w:pStyle w:val="Normal"/>
              <w:numPr>
                <w:ilvl w:val="0"/>
                <w:numId w:val="30"/>
              </w:numPr>
              <w:tabs>
                <w:tab w:val="clear" w:pos="720"/>
                <w:tab w:val="left" w:pos="288" w:leader="none"/>
              </w:tabs>
              <w:rPr/>
            </w:pPr>
            <w:r>
              <w:rPr/>
              <w:t>Receive FERC preliminary determination</w:t>
            </w:r>
          </w:p>
          <w:p>
            <w:pPr>
              <w:pStyle w:val="Normal"/>
              <w:ind w:start="360" w:end="0"/>
              <w:rPr/>
            </w:pPr>
            <w:r>
              <w:rPr/>
              <w:t>-     1NOV 01</w:t>
            </w:r>
          </w:p>
          <w:p>
            <w:pPr>
              <w:pStyle w:val="Normal"/>
              <w:numPr>
                <w:ilvl w:val="0"/>
                <w:numId w:val="30"/>
              </w:numPr>
              <w:tabs>
                <w:tab w:val="clear" w:pos="720"/>
                <w:tab w:val="left" w:pos="288" w:leader="none"/>
              </w:tabs>
              <w:rPr/>
            </w:pPr>
            <w:r>
              <w:rPr/>
              <w:t>Receive FERC approval</w:t>
            </w:r>
          </w:p>
          <w:p>
            <w:pPr>
              <w:pStyle w:val="Header"/>
              <w:tabs>
                <w:tab w:val="clear" w:pos="4320"/>
                <w:tab w:val="clear" w:pos="8640"/>
              </w:tabs>
              <w:ind w:start="360" w:end="0"/>
              <w:rPr/>
            </w:pPr>
            <w:r>
              <w:rPr/>
              <w:t>-     1MAY 02 - 1SEP 02</w:t>
            </w:r>
          </w:p>
          <w:p>
            <w:pPr>
              <w:pStyle w:val="Normal"/>
              <w:numPr>
                <w:ilvl w:val="0"/>
                <w:numId w:val="30"/>
              </w:numPr>
              <w:tabs>
                <w:tab w:val="clear" w:pos="720"/>
                <w:tab w:val="left" w:pos="288" w:leader="none"/>
              </w:tabs>
              <w:rPr/>
            </w:pPr>
            <w:r>
              <w:rPr/>
              <w:t xml:space="preserve">Issue EPC bid package  for terminal </w:t>
            </w:r>
          </w:p>
          <w:p>
            <w:pPr>
              <w:pStyle w:val="Normal"/>
              <w:ind w:start="360" w:end="0"/>
              <w:rPr/>
            </w:pPr>
            <w:r>
              <w:rPr/>
              <w:t>-     1APR 01 - 1APR 02</w:t>
            </w:r>
          </w:p>
          <w:p>
            <w:pPr>
              <w:pStyle w:val="Normal"/>
              <w:numPr>
                <w:ilvl w:val="0"/>
                <w:numId w:val="30"/>
              </w:numPr>
              <w:tabs>
                <w:tab w:val="clear" w:pos="720"/>
                <w:tab w:val="left" w:pos="288" w:leader="none"/>
              </w:tabs>
              <w:rPr/>
            </w:pPr>
            <w:r>
              <w:rPr/>
              <w:t>Receive EPC bids</w:t>
            </w:r>
          </w:p>
          <w:p>
            <w:pPr>
              <w:pStyle w:val="Normal"/>
              <w:ind w:start="360" w:end="0"/>
              <w:rPr/>
            </w:pPr>
            <w:r>
              <w:rPr/>
              <w:t>-     1AUG 01 - 1AUG 02</w:t>
            </w:r>
          </w:p>
          <w:p>
            <w:pPr>
              <w:pStyle w:val="Normal"/>
              <w:numPr>
                <w:ilvl w:val="0"/>
                <w:numId w:val="30"/>
              </w:numPr>
              <w:tabs>
                <w:tab w:val="clear" w:pos="720"/>
                <w:tab w:val="left" w:pos="288" w:leader="none"/>
              </w:tabs>
              <w:rPr/>
            </w:pPr>
            <w:r>
              <w:rPr/>
              <w:t>Award terminal EPC contract</w:t>
            </w:r>
          </w:p>
          <w:p>
            <w:pPr>
              <w:pStyle w:val="Normal"/>
              <w:ind w:start="360" w:end="0"/>
              <w:rPr/>
            </w:pPr>
            <w:r>
              <w:rPr/>
              <w:t>-     1SEP 01 - 1SEP 02</w:t>
            </w:r>
          </w:p>
          <w:p>
            <w:pPr>
              <w:pStyle w:val="Normal"/>
              <w:numPr>
                <w:ilvl w:val="0"/>
                <w:numId w:val="30"/>
              </w:numPr>
              <w:tabs>
                <w:tab w:val="clear" w:pos="720"/>
                <w:tab w:val="left" w:pos="288" w:leader="none"/>
              </w:tabs>
              <w:rPr/>
            </w:pPr>
            <w:r>
              <w:rPr/>
              <w:t>Begin delivering gas to Florida</w:t>
              <w:tab/>
            </w:r>
          </w:p>
          <w:p>
            <w:pPr>
              <w:pStyle w:val="Normal"/>
              <w:ind w:start="360" w:end="0"/>
              <w:rPr/>
            </w:pPr>
            <w:r>
              <w:rPr/>
              <w:t>-     1JUL 04</w:t>
              <w:tab/>
              <w:t xml:space="preserve"> - 1JUL 05</w:t>
            </w:r>
          </w:p>
          <w:p>
            <w:pPr>
              <w:pStyle w:val="Normal"/>
              <w:numPr>
                <w:ilvl w:val="0"/>
                <w:numId w:val="30"/>
              </w:numPr>
              <w:tabs>
                <w:tab w:val="clear" w:pos="720"/>
                <w:tab w:val="left" w:pos="288" w:leader="none"/>
              </w:tabs>
              <w:rPr/>
            </w:pPr>
            <w:r>
              <w:rPr/>
              <w:t>Complete EPC</w:t>
            </w:r>
          </w:p>
          <w:p>
            <w:pPr>
              <w:pStyle w:val="Normal"/>
              <w:ind w:start="360" w:end="0"/>
              <w:rPr/>
            </w:pPr>
            <w:r>
              <w:rPr/>
              <w:t>-     1OCT 04 - 1OCT 05</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rPr>
                <w:b/>
                <w:bCs/>
                <w:u w:val="single"/>
              </w:rPr>
            </w:pPr>
            <w:r>
              <w:rPr>
                <w:b/>
                <w:bCs/>
                <w:u w:val="single"/>
              </w:rPr>
              <w:t>Bahamas/Hawksbill Creek</w:t>
            </w:r>
          </w:p>
          <w:p>
            <w:pPr>
              <w:pStyle w:val="Normal"/>
              <w:rPr>
                <w:b/>
                <w:bCs/>
                <w:u w:val="single"/>
              </w:rPr>
            </w:pPr>
            <w:r>
              <w:rPr>
                <w:b/>
                <w:bCs/>
                <w:u w:val="single"/>
              </w:rPr>
            </w:r>
          </w:p>
          <w:p>
            <w:pPr>
              <w:pStyle w:val="Normal"/>
              <w:rPr/>
            </w:pPr>
            <w:r>
              <w:rPr/>
              <w:t>Last week:</w:t>
            </w:r>
          </w:p>
          <w:p>
            <w:pPr>
              <w:pStyle w:val="Normal"/>
              <w:numPr>
                <w:ilvl w:val="0"/>
                <w:numId w:val="30"/>
              </w:numPr>
              <w:tabs>
                <w:tab w:val="clear" w:pos="720"/>
              </w:tabs>
              <w:rPr/>
            </w:pPr>
            <w:r>
              <w:rPr/>
              <w:t>Continued to negotiate Business License.</w:t>
            </w:r>
          </w:p>
          <w:p>
            <w:pPr>
              <w:pStyle w:val="Normal"/>
              <w:numPr>
                <w:ilvl w:val="0"/>
                <w:numId w:val="30"/>
              </w:numPr>
              <w:tabs>
                <w:tab w:val="clear" w:pos="720"/>
              </w:tabs>
              <w:rPr/>
            </w:pPr>
            <w:r>
              <w:rPr/>
              <w:t>Preparing demolition scope for site</w:t>
            </w:r>
          </w:p>
          <w:p>
            <w:pPr>
              <w:pStyle w:val="Normal"/>
              <w:numPr>
                <w:ilvl w:val="0"/>
                <w:numId w:val="30"/>
              </w:numPr>
              <w:tabs>
                <w:tab w:val="clear" w:pos="720"/>
              </w:tabs>
              <w:rPr/>
            </w:pPr>
            <w:r>
              <w:rPr/>
              <w:t>Finalized draft of response to OPM on environmental issues.</w:t>
            </w:r>
          </w:p>
          <w:p>
            <w:pPr>
              <w:pStyle w:val="Normal"/>
              <w:rPr/>
            </w:pPr>
            <w:r>
              <w:rPr/>
            </w:r>
          </w:p>
          <w:p>
            <w:pPr>
              <w:pStyle w:val="Normal"/>
              <w:rPr/>
            </w:pPr>
            <w:r>
              <w:rPr/>
            </w:r>
          </w:p>
          <w:p>
            <w:pPr>
              <w:pStyle w:val="Normal"/>
              <w:rPr/>
            </w:pPr>
            <w:r>
              <w:rPr/>
              <w:t>This week:</w:t>
            </w:r>
          </w:p>
          <w:p>
            <w:pPr>
              <w:pStyle w:val="Normal"/>
              <w:numPr>
                <w:ilvl w:val="0"/>
                <w:numId w:val="31"/>
              </w:numPr>
              <w:rPr/>
            </w:pPr>
            <w:r>
              <w:rPr/>
              <w:t>Hope to finalize Business License and Harbor Use Agreement.</w:t>
            </w:r>
          </w:p>
          <w:p>
            <w:pPr>
              <w:pStyle w:val="Normal"/>
              <w:numPr>
                <w:ilvl w:val="0"/>
                <w:numId w:val="31"/>
              </w:numPr>
              <w:rPr/>
            </w:pPr>
            <w:r>
              <w:rPr/>
              <w:t>Send out response to OPM on environmental issues.</w:t>
            </w:r>
          </w:p>
          <w:p>
            <w:pPr>
              <w:pStyle w:val="Normal"/>
              <w:numPr>
                <w:ilvl w:val="0"/>
                <w:numId w:val="31"/>
              </w:numPr>
              <w:rPr/>
            </w:pPr>
            <w:r>
              <w:rPr/>
              <w:t xml:space="preserve">Meeting planned with Freeport Town councillors on Sept. 14 to introduce the project. </w:t>
            </w:r>
          </w:p>
          <w:p>
            <w:pPr>
              <w:pStyle w:val="Normal"/>
              <w:rPr/>
            </w:pPr>
            <w:r>
              <w:rPr/>
            </w:r>
          </w:p>
          <w:p>
            <w:pPr>
              <w:pStyle w:val="Normal"/>
              <w:rPr/>
            </w:pPr>
            <w:r>
              <w:rPr/>
              <w:t>Upcoming:</w:t>
            </w:r>
          </w:p>
          <w:p>
            <w:pPr>
              <w:pStyle w:val="Normal"/>
              <w:numPr>
                <w:ilvl w:val="0"/>
                <w:numId w:val="7"/>
              </w:numPr>
              <w:rPr/>
            </w:pPr>
            <w:r>
              <w:rPr/>
              <w:t>Media advisory to go out week of Sept 24.</w:t>
            </w:r>
          </w:p>
          <w:p>
            <w:pPr>
              <w:pStyle w:val="Normal"/>
              <w:numPr>
                <w:ilvl w:val="0"/>
                <w:numId w:val="7"/>
              </w:numPr>
              <w:rPr/>
            </w:pPr>
            <w:r>
              <w:rPr/>
              <w:t xml:space="preserve"> </w:t>
            </w:r>
            <w:r>
              <w:rPr/>
              <w:t>Hepburn Town Open House Sept 25.</w:t>
            </w:r>
          </w:p>
          <w:p>
            <w:pPr>
              <w:pStyle w:val="Normal"/>
              <w:numPr>
                <w:ilvl w:val="0"/>
                <w:numId w:val="7"/>
              </w:numPr>
              <w:rPr/>
            </w:pPr>
            <w:r>
              <w:rPr/>
              <w:t xml:space="preserve">Freeport Open House Sept 26. </w:t>
            </w:r>
          </w:p>
          <w:p>
            <w:pPr>
              <w:pStyle w:val="Header"/>
              <w:tabs>
                <w:tab w:val="clear" w:pos="4320"/>
                <w:tab w:val="clear" w:pos="8640"/>
              </w:tabs>
              <w:rPr/>
            </w:pPr>
            <w:r>
              <w:rPr/>
            </w:r>
          </w:p>
          <w:p>
            <w:pPr>
              <w:pStyle w:val="Normal"/>
              <w:rPr>
                <w:b/>
                <w:bCs/>
                <w:u w:val="single"/>
              </w:rPr>
            </w:pPr>
            <w:r>
              <w:rPr>
                <w:b/>
                <w:bCs/>
                <w:u w:val="single"/>
              </w:rPr>
            </w:r>
          </w:p>
          <w:p>
            <w:pPr>
              <w:pStyle w:val="Normal"/>
              <w:rPr>
                <w:b/>
                <w:bCs/>
                <w:u w:val="single"/>
              </w:rPr>
            </w:pPr>
            <w:r>
              <w:rPr>
                <w:b/>
                <w:bCs/>
                <w:u w:val="single"/>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Webber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Elba Island LNG Terminal</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0"/>
              </w:numPr>
              <w:tabs>
                <w:tab w:val="clear" w:pos="720"/>
                <w:tab w:val="left" w:pos="288" w:leader="none"/>
              </w:tabs>
              <w:rPr/>
            </w:pPr>
            <w:r>
              <w:rPr/>
              <w:t xml:space="preserve">LNG receiving terminal located on Elba Island near Savannah, GA.  </w:t>
            </w:r>
          </w:p>
          <w:p>
            <w:pPr>
              <w:pStyle w:val="Normal"/>
              <w:numPr>
                <w:ilvl w:val="0"/>
                <w:numId w:val="30"/>
              </w:numPr>
              <w:tabs>
                <w:tab w:val="clear" w:pos="720"/>
                <w:tab w:val="left" w:pos="288" w:leader="none"/>
              </w:tabs>
              <w:rPr/>
            </w:pPr>
            <w:r>
              <w:rPr/>
              <w:t xml:space="preserve">Planned reactivation date – October 6, 2001 </w:t>
            </w:r>
          </w:p>
          <w:p>
            <w:pPr>
              <w:pStyle w:val="Normal"/>
              <w:numPr>
                <w:ilvl w:val="0"/>
                <w:numId w:val="30"/>
              </w:numPr>
              <w:tabs>
                <w:tab w:val="clear" w:pos="720"/>
                <w:tab w:val="left" w:pos="288" w:leader="none"/>
              </w:tabs>
              <w:rPr/>
            </w:pPr>
            <w:r>
              <w:rPr/>
              <w:t>162.8 Bcf (gas equivalent) total firm capacity held by El Paso Merchant Energy (EPME)  [Enron sales entitlement = 58 Bcf]</w:t>
            </w:r>
          </w:p>
          <w:p>
            <w:pPr>
              <w:pStyle w:val="Normal"/>
              <w:numPr>
                <w:ilvl w:val="0"/>
                <w:numId w:val="30"/>
              </w:numPr>
              <w:tabs>
                <w:tab w:val="clear" w:pos="720"/>
                <w:tab w:val="left" w:pos="288" w:leader="none"/>
              </w:tabs>
              <w:rPr/>
            </w:pPr>
            <w:r>
              <w:rPr/>
              <w:t>22 year term</w:t>
            </w:r>
          </w:p>
          <w:p>
            <w:pPr>
              <w:pStyle w:val="Normal"/>
              <w:numPr>
                <w:ilvl w:val="0"/>
                <w:numId w:val="30"/>
              </w:numPr>
              <w:tabs>
                <w:tab w:val="clear" w:pos="720"/>
                <w:tab w:val="left" w:pos="288" w:leader="none"/>
              </w:tabs>
              <w:rPr/>
            </w:pPr>
            <w:r>
              <w:rPr/>
              <w:t>Enron right but not obligation to deliver and sell LNG to EPME at market prices, less fee = share of monthly terminal cost-of-service</w:t>
            </w:r>
          </w:p>
          <w:p>
            <w:pPr>
              <w:pStyle w:val="Normal"/>
              <w:numPr>
                <w:ilvl w:val="0"/>
                <w:numId w:val="30"/>
              </w:numPr>
              <w:tabs>
                <w:tab w:val="clear" w:pos="720"/>
                <w:tab w:val="left" w:pos="288" w:leader="none"/>
              </w:tabs>
              <w:rPr/>
            </w:pPr>
            <w:r>
              <w:rPr/>
              <w:t>Enron right to take redelivery of vaporized LNG at tailgate of terminal and to sell to third parties</w:t>
            </w:r>
          </w:p>
          <w:p>
            <w:pPr>
              <w:pStyle w:val="Normal"/>
              <w:numPr>
                <w:ilvl w:val="0"/>
                <w:numId w:val="30"/>
              </w:numPr>
              <w:tabs>
                <w:tab w:val="clear" w:pos="720"/>
                <w:tab w:val="left" w:pos="288" w:leader="none"/>
              </w:tabs>
              <w:rPr/>
            </w:pPr>
            <w:r>
              <w:rPr/>
              <w:t>Maximum 1075 Btu per cf HHV on LNG receipts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0"/>
              </w:numPr>
              <w:tabs>
                <w:tab w:val="clear" w:pos="720"/>
                <w:tab w:val="left" w:pos="288" w:leader="none"/>
              </w:tabs>
              <w:rPr/>
            </w:pPr>
            <w:r>
              <w:rPr/>
              <w:t xml:space="preserve">Met with El Paso (Jenkins) on Monday, August 13.  Generally outlined Enron’s proposed plan to progress the Definitive Agreement process with El Paso (Selection of Expert, Expert Terms of Reference and Procedures, and Determination of Unresolved Matters).  El Paso wants to start with the July 2000 draft Sales and Purchase Agreement as the basis rather than the Term Sheet.  </w:t>
            </w:r>
          </w:p>
          <w:p>
            <w:pPr>
              <w:pStyle w:val="Normal"/>
              <w:numPr>
                <w:ilvl w:val="0"/>
                <w:numId w:val="30"/>
              </w:numPr>
              <w:tabs>
                <w:tab w:val="clear" w:pos="720"/>
                <w:tab w:val="left" w:pos="288" w:leader="none"/>
              </w:tabs>
              <w:rPr/>
            </w:pPr>
            <w:r>
              <w:rPr/>
              <w:t>Will formalize our DA process proposal in a letter to El Paso (Jenkins and Eisbrenner) on August 21.</w:t>
            </w:r>
          </w:p>
          <w:p>
            <w:pPr>
              <w:pStyle w:val="Normal"/>
              <w:numPr>
                <w:ilvl w:val="0"/>
                <w:numId w:val="30"/>
              </w:numPr>
              <w:tabs>
                <w:tab w:val="clear" w:pos="720"/>
                <w:tab w:val="left" w:pos="288" w:leader="none"/>
              </w:tabs>
              <w:rPr/>
            </w:pPr>
            <w:r>
              <w:rPr/>
              <w:t>Comments on the US Coast Guard NPRM are being submitted on August 20.  Will participate in the revised consensus filing by the Marine Interface Group.  The USCG will likely mandate “Made-Up” tugs on vessels passing a moored LNG tanker, based on discussions with the USCG at the Shippers Meeting in Savannah on August 10.</w:t>
            </w:r>
          </w:p>
          <w:p>
            <w:pPr>
              <w:pStyle w:val="Normal"/>
              <w:numPr>
                <w:ilvl w:val="0"/>
                <w:numId w:val="30"/>
              </w:numPr>
              <w:tabs>
                <w:tab w:val="clear" w:pos="720"/>
                <w:tab w:val="left" w:pos="288" w:leader="none"/>
              </w:tabs>
              <w:rPr/>
            </w:pPr>
            <w:r>
              <w:rPr/>
              <w:t>El Paso Merchant is moving to capture the Southern Company power generation demand at McIntosh.</w:t>
            </w:r>
          </w:p>
          <w:p>
            <w:pPr>
              <w:pStyle w:val="Normal"/>
              <w:numPr>
                <w:ilvl w:val="0"/>
                <w:numId w:val="30"/>
              </w:numPr>
              <w:tabs>
                <w:tab w:val="clear" w:pos="720"/>
                <w:tab w:val="left" w:pos="288" w:leader="none"/>
              </w:tabs>
              <w:rPr/>
            </w:pPr>
            <w:r>
              <w:rPr/>
              <w:t xml:space="preserve">Terminal cool-down cargo now scheduled for late-September.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Vicens/ Gerstandt/August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8"/>
              <w:rPr/>
            </w:pPr>
            <w:r>
              <w:rPr/>
              <w:t>Jose LNG</w:t>
            </w:r>
          </w:p>
          <w:p>
            <w:pPr>
              <w:pStyle w:val="Heading5"/>
              <w:keepNext w:val="false"/>
              <w:ind w:hanging="0" w:start="0"/>
              <w:jc w:val="start"/>
              <w:rPr>
                <w:b w:val="false"/>
              </w:rPr>
            </w:pPr>
            <w:r>
              <w:rPr>
                <w:b w:val="false"/>
              </w:rPr>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6"/>
              </w:numPr>
              <w:rPr/>
            </w:pPr>
            <w:r>
              <w:rPr/>
              <w:t>2.1 MTPA LNG liquefaction and export facility in eastern Venezuela</w:t>
            </w:r>
          </w:p>
          <w:p>
            <w:pPr>
              <w:pStyle w:val="Normal"/>
              <w:numPr>
                <w:ilvl w:val="0"/>
                <w:numId w:val="26"/>
              </w:numPr>
              <w:rPr/>
            </w:pPr>
            <w:r>
              <w:rPr/>
              <w:t>Sponsor : Enron. PDVSA-Gas Venezuela’s national oil company has option to buy into 25% of the project’s equity</w:t>
            </w:r>
          </w:p>
          <w:p>
            <w:pPr>
              <w:pStyle w:val="Normal"/>
              <w:numPr>
                <w:ilvl w:val="0"/>
                <w:numId w:val="26"/>
              </w:numPr>
              <w:rPr/>
            </w:pPr>
            <w:r>
              <w:rPr/>
              <w:t>Investment:  $580 million EPC costs and $220 million of soft costs, including IDC</w:t>
            </w:r>
          </w:p>
          <w:p>
            <w:pPr>
              <w:pStyle w:val="Normal"/>
              <w:numPr>
                <w:ilvl w:val="0"/>
                <w:numId w:val="26"/>
              </w:numPr>
              <w:rPr/>
            </w:pPr>
            <w:r>
              <w:rPr/>
              <w:t>Natural Gas Supply: 350,000 MMBtus to be supplied by PDVSA</w:t>
            </w:r>
          </w:p>
          <w:p>
            <w:pPr>
              <w:pStyle w:val="Normal"/>
              <w:numPr>
                <w:ilvl w:val="0"/>
                <w:numId w:val="26"/>
              </w:numPr>
              <w:rPr/>
            </w:pPr>
            <w:r>
              <w:rPr/>
              <w:t>LNG Off-take: Under evaluation. Most likely Enron and PDVSA will be off-takers (under discussion with PDVSA)</w:t>
            </w:r>
          </w:p>
          <w:p>
            <w:pPr>
              <w:pStyle w:val="Normal"/>
              <w:numPr>
                <w:ilvl w:val="0"/>
                <w:numId w:val="26"/>
              </w:numPr>
              <w:rPr/>
            </w:pPr>
            <w:r>
              <w:rPr/>
              <w:t>Ultimate Markets: US East Coast LNG receiving terminals, Puerto Rico, other Caribbean, Iberia and Brazil</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6"/>
              </w:numPr>
              <w:rPr/>
            </w:pPr>
            <w:r>
              <w:rPr/>
              <w:t>We have information that the Ministry of Energy &amp; Mines concluded recommendation paper on LNG and other gas matters. Report is to be presented to President Chavez whenever he is available;</w:t>
            </w:r>
          </w:p>
          <w:p>
            <w:pPr>
              <w:pStyle w:val="Normal"/>
              <w:numPr>
                <w:ilvl w:val="0"/>
                <w:numId w:val="26"/>
              </w:numPr>
              <w:rPr/>
            </w:pPr>
            <w:r>
              <w:rPr/>
              <w:t>Through Enron's DC office, we have initiated conversations with the Kissinger-McClarty Group in order to send a strong and positive message to President Chavez about our project;</w:t>
            </w:r>
          </w:p>
          <w:p>
            <w:pPr>
              <w:pStyle w:val="Normal"/>
              <w:numPr>
                <w:ilvl w:val="0"/>
                <w:numId w:val="26"/>
              </w:numPr>
              <w:rPr/>
            </w:pPr>
            <w:r>
              <w:rPr/>
              <w:t>Next week we will meet in Pto. La Cruz with the Governor of the Anzoategui State to pitch our project and the benefits to the State. The State is moving through a difficult period because of the lack of recent foreign investment. The State is specially sensitive to large oil &amp; gas developments in the region and with all the heavy crude projects in their final phase of construction, unemployment has rocketed. Therefore, the Governor is under a great deal of pressure to create new jobs. We hope that our project could attract his attention.</w:t>
            </w:r>
          </w:p>
          <w:p>
            <w:pPr>
              <w:pStyle w:val="Normal"/>
              <w:spacing w:lineRule="atLeast" w:line="240"/>
              <w:rPr>
                <w:b/>
                <w:u w:val="single"/>
              </w:rPr>
            </w:pPr>
            <w:r>
              <w:rPr>
                <w:b/>
                <w:u w:val="single"/>
              </w:rPr>
              <w:t xml:space="preserve">Development Engineering Update : </w:t>
            </w:r>
          </w:p>
          <w:p>
            <w:pPr>
              <w:pStyle w:val="Normal"/>
              <w:numPr>
                <w:ilvl w:val="0"/>
                <w:numId w:val="26"/>
              </w:numPr>
              <w:rPr/>
            </w:pPr>
            <w:r>
              <w:rPr/>
              <w:t>Proposal received from Tecnoconsult for Power Survey.</w:t>
            </w:r>
          </w:p>
          <w:p>
            <w:pPr>
              <w:pStyle w:val="Normal"/>
              <w:numPr>
                <w:ilvl w:val="0"/>
                <w:numId w:val="26"/>
              </w:numPr>
              <w:rPr/>
            </w:pPr>
            <w:r>
              <w:rPr/>
              <w:t>Pre FEED activities identified.</w:t>
            </w:r>
          </w:p>
          <w:p>
            <w:pPr>
              <w:pStyle w:val="Normal"/>
              <w:numPr>
                <w:ilvl w:val="0"/>
                <w:numId w:val="26"/>
              </w:numPr>
              <w:tabs>
                <w:tab w:val="clear" w:pos="720"/>
                <w:tab w:val="left" w:pos="360" w:leader="none"/>
              </w:tabs>
              <w:rPr/>
            </w:pPr>
            <w:r>
              <w:rPr/>
              <w:t>All FEED contractors advised that start date uncertain.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B.4</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Sierra /August 24</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Puerto Rico</w:t>
            </w:r>
          </w:p>
          <w:p>
            <w:pPr>
              <w:pStyle w:val="Heading4"/>
              <w:keepNext w:val="false"/>
              <w:ind w:start="0" w:end="0"/>
              <w:rPr>
                <w:rFonts w:ascii="Times New Roman" w:hAnsi="Times New Roman" w:cs="Times New Roman"/>
              </w:rPr>
            </w:pPr>
            <w:r>
              <w:rPr>
                <w:rFonts w:cs="Times New Roman" w:ascii="Times New Roman" w:hAnsi="Times New Roman"/>
              </w:rPr>
              <w:t>J00009101XX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6"/>
              </w:numPr>
              <w:rPr/>
            </w:pPr>
            <w:r>
              <w:rPr/>
              <w:t>EcoElectrica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6"/>
              </w:numPr>
              <w:rPr/>
            </w:pPr>
            <w:r>
              <w:rPr/>
              <w:t>EcoElectrica Ownership Transaction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32"/>
              </w:numPr>
              <w:rPr/>
            </w:pPr>
            <w:r>
              <w:rPr/>
              <w:t>Facility Availability 100% for the week.</w:t>
            </w:r>
          </w:p>
          <w:p>
            <w:pPr>
              <w:pStyle w:val="Normal"/>
              <w:numPr>
                <w:ilvl w:val="0"/>
                <w:numId w:val="32"/>
              </w:numPr>
              <w:rPr/>
            </w:pPr>
            <w:r>
              <w:rPr/>
              <w:t>EcoElectrica has maintained lower excess generation pricing to $5.18/mmBtu to see if PREPA will raise the dispatch.  Dispatch forecast is near 80%.  So far limited Excess LNG has been sold.</w:t>
            </w:r>
          </w:p>
          <w:p>
            <w:pPr>
              <w:pStyle w:val="Normal"/>
              <w:numPr>
                <w:ilvl w:val="0"/>
                <w:numId w:val="32"/>
              </w:numPr>
              <w:rPr/>
            </w:pPr>
            <w:r>
              <w:rPr/>
              <w:t>LNG August 16, delivery completed as well as successful FERC site visit</w:t>
            </w:r>
          </w:p>
          <w:p>
            <w:pPr>
              <w:pStyle w:val="Normal"/>
              <w:rPr/>
            </w:pPr>
            <w:r>
              <w:rPr/>
            </w:r>
          </w:p>
          <w:p>
            <w:pPr>
              <w:pStyle w:val="Normal"/>
              <w:numPr>
                <w:ilvl w:val="0"/>
                <w:numId w:val="32"/>
              </w:numPr>
              <w:rPr/>
            </w:pPr>
            <w:r>
              <w:rPr/>
              <w:t>Continued efforts to complete requirements for closing transaction.  Contractor/Owner negotiations on completing final construction draw completed; certificates will be signed on August 27.</w:t>
            </w:r>
          </w:p>
          <w:p>
            <w:pPr>
              <w:pStyle w:val="Normal"/>
              <w:numPr>
                <w:ilvl w:val="0"/>
                <w:numId w:val="32"/>
              </w:numPr>
              <w:rPr/>
            </w:pPr>
            <w:r>
              <w:rPr/>
              <w:t>Construction loan term out to be completed next week.</w:t>
            </w:r>
          </w:p>
          <w:p>
            <w:pPr>
              <w:pStyle w:val="Normal"/>
              <w:numPr>
                <w:ilvl w:val="0"/>
                <w:numId w:val="32"/>
              </w:numPr>
              <w:rPr/>
            </w:pPr>
            <w:r>
              <w:rPr/>
              <w:t>Received Lender issues that must be resolved for transaction closing.  Meetings amongst parties ongoing.</w:t>
            </w:r>
          </w:p>
          <w:p>
            <w:pPr>
              <w:pStyle w:val="Normal"/>
              <w:numPr>
                <w:ilvl w:val="0"/>
                <w:numId w:val="32"/>
              </w:numPr>
              <w:rPr/>
            </w:pPr>
            <w:r>
              <w:rPr/>
              <w:t>Continued to efforts to manage key commercial issues that may affect the transaction – PREPA issues, insurance matters, and Eco management.</w:t>
            </w:r>
          </w:p>
          <w:p>
            <w:pPr>
              <w:pStyle w:val="Normal"/>
              <w:numPr>
                <w:ilvl w:val="0"/>
                <w:numId w:val="32"/>
              </w:numPr>
              <w:rPr/>
            </w:pPr>
            <w:r>
              <w:rPr/>
              <w:t>Held meetings with Mirant in PR.  Met with Eco employees, made HR and accounting briefings and discussed action items regarding the transaction.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B.5</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Whitehead/Harris </w:t>
            </w:r>
          </w:p>
          <w:p>
            <w:pPr>
              <w:pStyle w:val="Normal"/>
              <w:jc w:val="center"/>
              <w:rPr/>
            </w:pPr>
            <w:r>
              <w:rPr/>
              <w:t>August 31</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Nigeria LNG</w:t>
            </w:r>
          </w:p>
          <w:p>
            <w:pPr>
              <w:pStyle w:val="Normal"/>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6"/>
              </w:numPr>
              <w:rPr/>
            </w:pPr>
            <w:r>
              <w:rPr/>
              <w:t xml:space="preserve">Long Term LNG purchase </w:t>
            </w:r>
          </w:p>
          <w:p>
            <w:pPr>
              <w:pStyle w:val="Normal"/>
              <w:numPr>
                <w:ilvl w:val="0"/>
                <w:numId w:val="26"/>
              </w:numPr>
              <w:rPr/>
            </w:pPr>
            <w:r>
              <w:rPr/>
              <w:t>Start date April 2005</w:t>
            </w:r>
          </w:p>
          <w:p>
            <w:pPr>
              <w:pStyle w:val="Normal"/>
              <w:numPr>
                <w:ilvl w:val="0"/>
                <w:numId w:val="26"/>
              </w:numPr>
              <w:rPr/>
            </w:pPr>
            <w:r>
              <w:rPr/>
              <w:t>CIF deliveries to US and Med.</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color w:val="000000"/>
              </w:rPr>
              <w:t>New MOU initialed 15</w:t>
            </w:r>
            <w:r>
              <w:rPr>
                <w:color w:val="000000"/>
                <w:vertAlign w:val="superscript"/>
              </w:rPr>
              <w:t>th</w:t>
            </w:r>
            <w:r>
              <w:rPr>
                <w:color w:val="000000"/>
              </w:rPr>
              <w:t xml:space="preserve"> Aug</w:t>
            </w:r>
          </w:p>
          <w:p>
            <w:pPr>
              <w:pStyle w:val="Header"/>
              <w:numPr>
                <w:ilvl w:val="0"/>
                <w:numId w:val="2"/>
              </w:numPr>
              <w:tabs>
                <w:tab w:val="clear" w:pos="4320"/>
                <w:tab w:val="clear" w:pos="8640"/>
              </w:tabs>
              <w:rPr/>
            </w:pPr>
            <w:r>
              <w:rPr>
                <w:color w:val="000000"/>
              </w:rPr>
              <w:t>Existing MOU cancelled and replaced with 4 BCM @91.5% Nymex. Destination flex on 100% of volume to NA and Europe</w:t>
            </w:r>
          </w:p>
          <w:p>
            <w:pPr>
              <w:pStyle w:val="Header"/>
              <w:numPr>
                <w:ilvl w:val="0"/>
                <w:numId w:val="2"/>
              </w:numPr>
              <w:tabs>
                <w:tab w:val="clear" w:pos="4320"/>
                <w:tab w:val="clear" w:pos="8640"/>
              </w:tabs>
              <w:rPr/>
            </w:pPr>
            <w:r>
              <w:rPr>
                <w:color w:val="000000"/>
              </w:rPr>
              <w:t>Signature of MOU waiting on response from NLNG.</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B.6</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 / </w:t>
            </w:r>
          </w:p>
          <w:p>
            <w:pPr>
              <w:pStyle w:val="Normal"/>
              <w:jc w:val="center"/>
              <w:rPr/>
            </w:pPr>
            <w:r>
              <w:rPr/>
              <w:t>September 7</w:t>
            </w:r>
          </w:p>
        </w:tc>
        <w:tc>
          <w:tcPr>
            <w:tcW w:w="2714" w:type="dxa"/>
            <w:gridSpan w:val="2"/>
            <w:tcBorders>
              <w:start w:val="single" w:sz="4" w:space="0" w:color="000000"/>
              <w:bottom w:val="single" w:sz="4" w:space="0" w:color="000000"/>
              <w:end w:val="single" w:sz="4" w:space="0" w:color="000000"/>
            </w:tcBorders>
          </w:tcPr>
          <w:p>
            <w:pPr>
              <w:pStyle w:val="Heading5"/>
              <w:keepNext w:val="false"/>
              <w:ind w:hanging="0" w:start="0"/>
              <w:jc w:val="start"/>
              <w:rPr/>
            </w:pPr>
            <w:r>
              <w:rPr/>
              <w:t>Lake Charles Capacity</w:t>
            </w:r>
          </w:p>
        </w:tc>
        <w:tc>
          <w:tcPr>
            <w:tcW w:w="4285" w:type="dxa"/>
            <w:gridSpan w:val="2"/>
            <w:tcBorders>
              <w:start w:val="single" w:sz="4" w:space="0" w:color="000000"/>
              <w:bottom w:val="single" w:sz="4" w:space="0" w:color="000000"/>
              <w:end w:val="single" w:sz="4" w:space="0" w:color="000000"/>
            </w:tcBorders>
          </w:tcPr>
          <w:p>
            <w:pPr>
              <w:pStyle w:val="Normal"/>
              <w:numPr>
                <w:ilvl w:val="0"/>
                <w:numId w:val="26"/>
              </w:numPr>
              <w:rPr/>
            </w:pPr>
            <w:r>
              <w:rPr/>
              <w:t>Secure Capacity from BG for Lake Charles</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Met with Simon Bonini Aug 3</w:t>
            </w:r>
          </w:p>
          <w:p>
            <w:pPr>
              <w:pStyle w:val="Header"/>
              <w:numPr>
                <w:ilvl w:val="0"/>
                <w:numId w:val="2"/>
              </w:numPr>
              <w:tabs>
                <w:tab w:val="clear" w:pos="4320"/>
                <w:tab w:val="clear" w:pos="8640"/>
              </w:tabs>
              <w:rPr/>
            </w:pPr>
            <w:r>
              <w:rPr/>
              <w:t xml:space="preserve">BG Interested in selling Lake Charles capacity until 05 or 09 for the HG and Exc. </w:t>
            </w:r>
          </w:p>
          <w:p>
            <w:pPr>
              <w:pStyle w:val="Header"/>
              <w:numPr>
                <w:ilvl w:val="0"/>
                <w:numId w:val="2"/>
              </w:numPr>
              <w:tabs>
                <w:tab w:val="clear" w:pos="4320"/>
                <w:tab w:val="clear" w:pos="8640"/>
              </w:tabs>
              <w:rPr/>
            </w:pPr>
            <w:r>
              <w:rPr/>
              <w:t>BG to revert with a proposal end August</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B.7</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Arnell / Sept 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Angola LNG</w:t>
            </w:r>
          </w:p>
          <w:p>
            <w:pPr>
              <w:pStyle w:val="Heading5"/>
              <w:keepNext w:val="false"/>
              <w:ind w:hanging="0" w:start="0"/>
              <w:jc w:val="start"/>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6"/>
              </w:numPr>
              <w:rPr/>
            </w:pPr>
            <w:r>
              <w:rPr/>
              <w:t xml:space="preserve">Long Term LNG Purchase </w:t>
            </w:r>
          </w:p>
          <w:p>
            <w:pPr>
              <w:pStyle w:val="Normal"/>
              <w:numPr>
                <w:ilvl w:val="0"/>
                <w:numId w:val="26"/>
              </w:numPr>
              <w:rPr/>
            </w:pPr>
            <w:r>
              <w:rPr/>
              <w:t>2.1 MMTA with option to increase to 3.0 MMTA, 20 years, North America deliveries are NYMEX related, start date April 2005</w:t>
            </w:r>
          </w:p>
        </w:tc>
        <w:tc>
          <w:tcPr>
            <w:tcW w:w="5716" w:type="dxa"/>
            <w:tcBorders>
              <w:start w:val="single" w:sz="4" w:space="0" w:color="000000"/>
              <w:bottom w:val="single" w:sz="4" w:space="0" w:color="000000"/>
              <w:end w:val="single" w:sz="4" w:space="0" w:color="000000"/>
            </w:tcBorders>
          </w:tcPr>
          <w:p>
            <w:pPr>
              <w:pStyle w:val="Normal"/>
              <w:numPr>
                <w:ilvl w:val="0"/>
                <w:numId w:val="32"/>
              </w:numPr>
              <w:rPr/>
            </w:pPr>
            <w:r>
              <w:rPr/>
              <w:t xml:space="preserve">Awaiting decision of board. </w:t>
            </w:r>
          </w:p>
          <w:p>
            <w:pPr>
              <w:pStyle w:val="Normal"/>
              <w:numPr>
                <w:ilvl w:val="0"/>
                <w:numId w:val="45"/>
              </w:numPr>
              <w:autoSpaceDE w:val="false"/>
              <w:rPr/>
            </w:pPr>
            <w:r>
              <w:rPr/>
              <w:t>They are offering 2.1 MMTA but want the firm option to increase that up to 3.0 MMTA.  They would like to hold this option right up until the time of signing the SPA which they are targeting March '02.</w:t>
            </w:r>
          </w:p>
          <w:p>
            <w:pPr>
              <w:pStyle w:val="Normal"/>
              <w:numPr>
                <w:ilvl w:val="0"/>
                <w:numId w:val="32"/>
              </w:numPr>
              <w:autoSpaceDE w:val="false"/>
              <w:ind w:hanging="396" w:start="396" w:end="0"/>
              <w:rPr/>
            </w:pPr>
            <w:r>
              <w:rPr/>
              <w:t>They want a firm right to deliver 1.2 MMTA to Elba if the Bahamas does not go ahead.</w:t>
            </w:r>
          </w:p>
          <w:p>
            <w:pPr>
              <w:pStyle w:val="Header"/>
              <w:tabs>
                <w:tab w:val="clear" w:pos="4320"/>
                <w:tab w:val="clear" w:pos="8640"/>
              </w:tabs>
              <w:rPr/>
            </w:pPr>
            <w:r>
              <w:rPr/>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B.8</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Sept 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Egypt LNG</w:t>
            </w:r>
          </w:p>
        </w:tc>
        <w:tc>
          <w:tcPr>
            <w:tcW w:w="4285" w:type="dxa"/>
            <w:gridSpan w:val="2"/>
            <w:tcBorders>
              <w:start w:val="single" w:sz="4" w:space="0" w:color="000000"/>
              <w:bottom w:val="single" w:sz="4" w:space="0" w:color="000000"/>
              <w:end w:val="single" w:sz="4" w:space="0" w:color="000000"/>
            </w:tcBorders>
          </w:tcPr>
          <w:p>
            <w:pPr>
              <w:pStyle w:val="Normal"/>
              <w:numPr>
                <w:ilvl w:val="0"/>
                <w:numId w:val="45"/>
              </w:numPr>
              <w:tabs>
                <w:tab w:val="clear" w:pos="720"/>
                <w:tab w:val="left" w:pos="396" w:leader="none"/>
              </w:tabs>
              <w:rPr/>
            </w:pPr>
            <w:r>
              <w:rPr/>
              <w:t>Long Term LNG Purchase</w:t>
            </w:r>
          </w:p>
        </w:tc>
        <w:tc>
          <w:tcPr>
            <w:tcW w:w="5716" w:type="dxa"/>
            <w:tcBorders>
              <w:start w:val="single" w:sz="4" w:space="0" w:color="000000"/>
              <w:bottom w:val="single" w:sz="4" w:space="0" w:color="000000"/>
              <w:end w:val="single" w:sz="4" w:space="0" w:color="000000"/>
            </w:tcBorders>
          </w:tcPr>
          <w:p>
            <w:pPr>
              <w:pStyle w:val="Normal"/>
              <w:numPr>
                <w:ilvl w:val="0"/>
                <w:numId w:val="45"/>
              </w:numPr>
              <w:rPr/>
            </w:pPr>
            <w:r>
              <w:rPr/>
              <w:t>Frevert met EGPC Chairman and Energy Minister in Cairo on Aug 27th</w:t>
            </w:r>
          </w:p>
          <w:p>
            <w:pPr>
              <w:pStyle w:val="Normal"/>
              <w:numPr>
                <w:ilvl w:val="0"/>
                <w:numId w:val="45"/>
              </w:numPr>
              <w:rPr/>
            </w:pPr>
            <w:r>
              <w:rPr/>
              <w:t>New term Sheet sent Aug 30</w:t>
            </w:r>
            <w:r>
              <w:rPr>
                <w:vertAlign w:val="superscript"/>
              </w:rPr>
              <w:t>th</w:t>
            </w:r>
            <w:r>
              <w:rPr/>
              <w:t>, Reduced volume to between 1 and 3 bcm/yr</w:t>
            </w:r>
          </w:p>
          <w:p>
            <w:pPr>
              <w:pStyle w:val="Normal"/>
              <w:numPr>
                <w:ilvl w:val="0"/>
                <w:numId w:val="45"/>
              </w:numPr>
              <w:rPr/>
            </w:pPr>
            <w:r>
              <w:rPr/>
              <w:t>Awaiting the outcome of ELNG marketing committee meetings taking place early September</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B.9</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Sept 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TotalFinaElf</w:t>
            </w:r>
          </w:p>
        </w:tc>
        <w:tc>
          <w:tcPr>
            <w:tcW w:w="4285" w:type="dxa"/>
            <w:gridSpan w:val="2"/>
            <w:tcBorders>
              <w:start w:val="single" w:sz="4" w:space="0" w:color="000000"/>
              <w:bottom w:val="single" w:sz="4" w:space="0" w:color="000000"/>
              <w:end w:val="single" w:sz="4" w:space="0" w:color="000000"/>
            </w:tcBorders>
          </w:tcPr>
          <w:p>
            <w:pPr>
              <w:pStyle w:val="Normal"/>
              <w:numPr>
                <w:ilvl w:val="0"/>
                <w:numId w:val="45"/>
              </w:numPr>
              <w:tabs>
                <w:tab w:val="clear" w:pos="720"/>
                <w:tab w:val="left" w:pos="396" w:leader="none"/>
              </w:tabs>
              <w:rPr/>
            </w:pPr>
            <w:r>
              <w:rPr/>
              <w:t>Short term sale of LNG on Hoegh Galleon, Middle East to Spain &amp; France</w:t>
            </w:r>
          </w:p>
        </w:tc>
        <w:tc>
          <w:tcPr>
            <w:tcW w:w="5716" w:type="dxa"/>
            <w:tcBorders>
              <w:start w:val="single" w:sz="4" w:space="0" w:color="000000"/>
              <w:bottom w:val="single" w:sz="4" w:space="0" w:color="000000"/>
              <w:end w:val="single" w:sz="4" w:space="0" w:color="000000"/>
            </w:tcBorders>
          </w:tcPr>
          <w:p>
            <w:pPr>
              <w:pStyle w:val="Normal"/>
              <w:numPr>
                <w:ilvl w:val="0"/>
                <w:numId w:val="45"/>
              </w:numPr>
              <w:rPr/>
            </w:pPr>
            <w:r>
              <w:rPr/>
              <w:t>In the final stages of signing a master agreement</w:t>
            </w:r>
          </w:p>
          <w:p>
            <w:pPr>
              <w:pStyle w:val="Normal"/>
              <w:numPr>
                <w:ilvl w:val="0"/>
                <w:numId w:val="45"/>
              </w:numPr>
              <w:rPr/>
            </w:pPr>
            <w:r>
              <w:rPr/>
              <w:t>TFE have given us a bid for the HG into Spain. Needs reworking into an FOB term sheet for Oman</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B.10</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Gas de France</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5"/>
              </w:numPr>
              <w:tabs>
                <w:tab w:val="clear" w:pos="720"/>
                <w:tab w:val="left" w:pos="396" w:leader="none"/>
              </w:tabs>
              <w:rPr>
                <w:bCs/>
              </w:rPr>
            </w:pPr>
            <w:r>
              <w:rPr>
                <w:bCs/>
              </w:rPr>
              <w:t>Two Year terminal access to Montoir</w:t>
            </w:r>
          </w:p>
          <w:p>
            <w:pPr>
              <w:pStyle w:val="Normal"/>
              <w:numPr>
                <w:ilvl w:val="0"/>
                <w:numId w:val="45"/>
              </w:numPr>
              <w:tabs>
                <w:tab w:val="clear" w:pos="720"/>
                <w:tab w:val="left" w:pos="396" w:leader="none"/>
              </w:tabs>
              <w:rPr>
                <w:b/>
              </w:rPr>
            </w:pPr>
            <w:r>
              <w:rPr>
                <w:bCs/>
              </w:rPr>
              <w:t>Gas Swap to NBP or Zeebrugge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5"/>
              </w:numPr>
              <w:rPr>
                <w:bCs/>
              </w:rPr>
            </w:pPr>
            <w:r>
              <w:rPr>
                <w:bCs/>
              </w:rPr>
              <w:t>Met with GdF on July 24th. They expressed a great deal of interest.</w:t>
            </w:r>
          </w:p>
          <w:p>
            <w:pPr>
              <w:pStyle w:val="Normal"/>
              <w:numPr>
                <w:ilvl w:val="0"/>
                <w:numId w:val="45"/>
              </w:numPr>
              <w:rPr>
                <w:b/>
              </w:rPr>
            </w:pPr>
            <w:r>
              <w:rPr>
                <w:bCs/>
              </w:rPr>
              <w:t xml:space="preserve">Term Sheet due to GdF </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Gerych/August 29</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USA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5"/>
              </w:numPr>
              <w:tabs>
                <w:tab w:val="clear" w:pos="720"/>
                <w:tab w:val="left" w:pos="396" w:leader="none"/>
              </w:tabs>
              <w:rPr>
                <w:bCs/>
              </w:rPr>
            </w:pPr>
            <w:r>
              <w:rPr>
                <w:bCs/>
              </w:rPr>
              <w:t>Develop LNG Terminal(s) on U.S. West Coast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5"/>
              </w:numPr>
              <w:rPr>
                <w:bCs/>
              </w:rPr>
            </w:pPr>
            <w:r>
              <w:rPr>
                <w:bCs/>
              </w:rPr>
              <w:t>FSRU</w:t>
            </w:r>
          </w:p>
          <w:p>
            <w:pPr>
              <w:pStyle w:val="Normal"/>
              <w:numPr>
                <w:ilvl w:val="0"/>
                <w:numId w:val="25"/>
              </w:numPr>
              <w:rPr>
                <w:bCs/>
              </w:rPr>
            </w:pPr>
            <w:r>
              <w:rPr>
                <w:bCs/>
              </w:rPr>
              <w:t>PSA with Merlin negotiated</w:t>
            </w:r>
          </w:p>
          <w:p>
            <w:pPr>
              <w:pStyle w:val="Normal"/>
              <w:numPr>
                <w:ilvl w:val="0"/>
                <w:numId w:val="25"/>
              </w:numPr>
              <w:rPr>
                <w:bCs/>
              </w:rPr>
            </w:pPr>
            <w:r>
              <w:rPr>
                <w:bCs/>
              </w:rPr>
              <w:t>Scope of Work for Dynamic Simulation Analysis under development</w:t>
            </w:r>
          </w:p>
          <w:p>
            <w:pPr>
              <w:pStyle w:val="Normal"/>
              <w:numPr>
                <w:ilvl w:val="0"/>
                <w:numId w:val="25"/>
              </w:numPr>
              <w:rPr>
                <w:bCs/>
              </w:rPr>
            </w:pPr>
            <w:r>
              <w:rPr>
                <w:bCs/>
              </w:rPr>
              <w:t>Preferred mooring location selected</w:t>
            </w:r>
          </w:p>
          <w:p>
            <w:pPr>
              <w:pStyle w:val="Normal"/>
              <w:numPr>
                <w:ilvl w:val="0"/>
                <w:numId w:val="25"/>
              </w:numPr>
              <w:rPr>
                <w:bCs/>
              </w:rPr>
            </w:pPr>
            <w:r>
              <w:rPr>
                <w:bCs/>
              </w:rPr>
              <w:t>LPG issues under review</w:t>
            </w:r>
          </w:p>
          <w:p>
            <w:pPr>
              <w:pStyle w:val="Normal"/>
              <w:numPr>
                <w:ilvl w:val="0"/>
                <w:numId w:val="45"/>
              </w:numPr>
              <w:rPr>
                <w:bCs/>
              </w:rPr>
            </w:pPr>
            <w:r>
              <w:rPr>
                <w:bCs/>
              </w:rPr>
              <w:t>PTL to submit report on NW sites on August 31</w:t>
            </w:r>
          </w:p>
          <w:p>
            <w:pPr>
              <w:pStyle w:val="Normal"/>
              <w:numPr>
                <w:ilvl w:val="0"/>
                <w:numId w:val="45"/>
              </w:numPr>
              <w:rPr>
                <w:bCs/>
              </w:rPr>
            </w:pPr>
            <w:r>
              <w:rPr>
                <w:bCs/>
              </w:rPr>
              <w:t>Permitting agencies</w:t>
            </w:r>
          </w:p>
          <w:p>
            <w:pPr>
              <w:pStyle w:val="Normal"/>
              <w:numPr>
                <w:ilvl w:val="0"/>
                <w:numId w:val="25"/>
              </w:numPr>
              <w:rPr>
                <w:bCs/>
              </w:rPr>
            </w:pPr>
            <w:r>
              <w:rPr>
                <w:bCs/>
              </w:rPr>
              <w:t>CAs with URS, ERM and ENSR to be signed this week</w:t>
            </w:r>
          </w:p>
          <w:p>
            <w:pPr>
              <w:pStyle w:val="Normal"/>
              <w:numPr>
                <w:ilvl w:val="0"/>
                <w:numId w:val="25"/>
              </w:numPr>
              <w:rPr>
                <w:bCs/>
              </w:rPr>
            </w:pPr>
            <w:r>
              <w:rPr>
                <w:bCs/>
              </w:rPr>
              <w:t>Scope of Work for prefeasibility being developed</w:t>
            </w:r>
          </w:p>
          <w:p>
            <w:pPr>
              <w:pStyle w:val="Normal"/>
              <w:rPr>
                <w:bCs/>
              </w:rPr>
            </w:pPr>
            <w:r>
              <w:rPr>
                <w:bCs/>
              </w:rPr>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Curran/August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Baja California</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5"/>
              </w:numPr>
              <w:tabs>
                <w:tab w:val="clear" w:pos="720"/>
                <w:tab w:val="left" w:pos="396" w:leader="none"/>
              </w:tabs>
              <w:rPr>
                <w:bCs/>
              </w:rPr>
            </w:pPr>
            <w:r>
              <w:rPr>
                <w:bCs/>
              </w:rPr>
              <w:t>Develop LNG Terminal in N. Mexico</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5"/>
              </w:numPr>
              <w:rPr>
                <w:bCs/>
              </w:rPr>
            </w:pPr>
            <w:r>
              <w:rPr>
                <w:bCs/>
              </w:rPr>
              <w:t>Site visit held on August 10</w:t>
            </w:r>
          </w:p>
          <w:p>
            <w:pPr>
              <w:pStyle w:val="Normal"/>
              <w:numPr>
                <w:ilvl w:val="0"/>
                <w:numId w:val="45"/>
              </w:numPr>
              <w:rPr>
                <w:bCs/>
              </w:rPr>
            </w:pPr>
            <w:r>
              <w:rPr>
                <w:bCs/>
              </w:rPr>
              <w:t>Finalizing partnership agreement with Cal-Mex</w:t>
            </w:r>
          </w:p>
          <w:p>
            <w:pPr>
              <w:pStyle w:val="Normal"/>
              <w:numPr>
                <w:ilvl w:val="0"/>
                <w:numId w:val="45"/>
              </w:numPr>
              <w:rPr>
                <w:bCs/>
              </w:rPr>
            </w:pPr>
            <w:r>
              <w:rPr>
                <w:bCs/>
              </w:rPr>
              <w:t>Sent due diligence questionnaire to Cal-Mex</w:t>
            </w:r>
          </w:p>
          <w:p>
            <w:pPr>
              <w:pStyle w:val="Normal"/>
              <w:rPr>
                <w:bCs/>
              </w:rPr>
            </w:pPr>
            <w:r>
              <w:rPr>
                <w:bCs/>
              </w:rPr>
            </w:r>
          </w:p>
        </w:tc>
      </w:tr>
      <w:tr>
        <w:trPr>
          <w:trHeight w:val="400" w:hRule="atLeast"/>
        </w:trPr>
        <w:tc>
          <w:tcPr>
            <w:tcW w:w="738" w:type="dxa"/>
            <w:tcBorders>
              <w:top w:val="single" w:sz="4" w:space="0" w:color="000000"/>
              <w:start w:val="single" w:sz="4" w:space="0" w:color="000000"/>
            </w:tcBorders>
          </w:tcPr>
          <w:p>
            <w:pPr>
              <w:pStyle w:val="Heading5"/>
              <w:ind w:hanging="0" w:start="0"/>
              <w:rPr/>
            </w:pPr>
            <w:r>
              <w:rPr/>
              <w:t>C</w:t>
            </w:r>
          </w:p>
        </w:tc>
        <w:tc>
          <w:tcPr>
            <w:tcW w:w="1891" w:type="dxa"/>
            <w:gridSpan w:val="2"/>
            <w:tcBorders>
              <w:top w:val="single" w:sz="4" w:space="0" w:color="000000"/>
            </w:tcBorders>
          </w:tcPr>
          <w:p>
            <w:pPr>
              <w:pStyle w:val="Normal"/>
              <w:keepNext w:val="true"/>
              <w:snapToGrid w:val="false"/>
              <w:jc w:val="center"/>
              <w:rPr/>
            </w:pPr>
            <w:r>
              <w:rPr/>
            </w:r>
          </w:p>
        </w:tc>
        <w:tc>
          <w:tcPr>
            <w:tcW w:w="2714" w:type="dxa"/>
            <w:gridSpan w:val="2"/>
            <w:tcBorders>
              <w:top w:val="single" w:sz="4" w:space="0" w:color="000000"/>
            </w:tcBorders>
          </w:tcPr>
          <w:p>
            <w:pPr>
              <w:pStyle w:val="Normal"/>
              <w:keepNext w:val="true"/>
              <w:rPr>
                <w:b/>
              </w:rPr>
            </w:pPr>
            <w:r>
              <w:rPr>
                <w:b/>
              </w:rPr>
              <w:t>LNG Shipping</w:t>
            </w:r>
          </w:p>
        </w:tc>
        <w:tc>
          <w:tcPr>
            <w:tcW w:w="4285" w:type="dxa"/>
            <w:gridSpan w:val="2"/>
            <w:tcBorders>
              <w:top w:val="single" w:sz="4" w:space="0" w:color="000000"/>
            </w:tcBorders>
          </w:tcPr>
          <w:p>
            <w:pPr>
              <w:pStyle w:val="Normal"/>
              <w:keepNext w:val="true"/>
              <w:snapToGrid w:val="false"/>
              <w:rPr>
                <w:b/>
                <w:i/>
                <w:i/>
              </w:rPr>
            </w:pPr>
            <w:r>
              <w:rPr>
                <w:b/>
                <w:i/>
              </w:rPr>
            </w:r>
          </w:p>
        </w:tc>
        <w:tc>
          <w:tcPr>
            <w:tcW w:w="5716" w:type="dxa"/>
            <w:tcBorders>
              <w:top w:val="single" w:sz="4" w:space="0" w:color="000000"/>
              <w:end w:val="single" w:sz="4" w:space="0" w:color="000000"/>
            </w:tcBorders>
          </w:tcPr>
          <w:p>
            <w:pPr>
              <w:pStyle w:val="Normal"/>
              <w:keepNext w:val="true"/>
              <w:snapToGrid w:val="false"/>
              <w:rPr>
                <w:b/>
                <w:i/>
                <w:i/>
              </w:rPr>
            </w:pPr>
            <w:r>
              <w:rPr>
                <w:b/>
                <w:i/>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 xml:space="preserve">Whitehead/ </w:t>
            </w:r>
          </w:p>
          <w:p>
            <w:pPr>
              <w:pStyle w:val="Header"/>
              <w:tabs>
                <w:tab w:val="clear" w:pos="4320"/>
                <w:tab w:val="clear" w:pos="8640"/>
              </w:tabs>
              <w:jc w:val="center"/>
              <w:rPr/>
            </w:pPr>
            <w:r>
              <w:rPr/>
              <w:t>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Lakshmi</w:t>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3"/>
              </w:numPr>
              <w:rPr/>
            </w:pPr>
            <w:r>
              <w:rPr/>
              <w:t>Ownership JV and Time Charter of one 135,000 cm LNG ship for the Dabhol Power Company Project in India.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DPC have not exercised their option to extend</w:t>
            </w:r>
          </w:p>
          <w:p>
            <w:pPr>
              <w:pStyle w:val="Normal"/>
              <w:numPr>
                <w:ilvl w:val="0"/>
                <w:numId w:val="12"/>
              </w:numPr>
              <w:rPr/>
            </w:pPr>
            <w:r>
              <w:rPr>
                <w:b/>
                <w:bCs/>
              </w:rPr>
              <w:t>Key Dates</w:t>
            </w:r>
            <w:r>
              <w:rPr/>
              <w:t>: Oct 21</w:t>
            </w:r>
            <w:r>
              <w:rPr>
                <w:vertAlign w:val="superscript"/>
              </w:rPr>
              <w:t>st</w:t>
            </w:r>
            <w:r>
              <w:rPr/>
              <w:t>: End of PCA period, Nov 15</w:t>
            </w:r>
            <w:r>
              <w:rPr>
                <w:vertAlign w:val="superscript"/>
              </w:rPr>
              <w:t>th</w:t>
            </w:r>
            <w:r>
              <w:rPr/>
              <w:t>: Current Vessel delivery date</w:t>
            </w:r>
          </w:p>
          <w:p>
            <w:pPr>
              <w:pStyle w:val="Normal"/>
              <w:numPr>
                <w:ilvl w:val="0"/>
                <w:numId w:val="12"/>
              </w:numPr>
              <w:rPr/>
            </w:pPr>
            <w:r>
              <w:rPr/>
              <w:t>MOL has indicated they may have LTTC possibilities, specifically with Oman</w:t>
            </w:r>
          </w:p>
          <w:p>
            <w:pPr>
              <w:pStyle w:val="Normal"/>
              <w:numPr>
                <w:ilvl w:val="0"/>
                <w:numId w:val="12"/>
              </w:numPr>
              <w:rPr/>
            </w:pPr>
            <w:r>
              <w:rPr/>
              <w:t>Vessel experienced some problems during Sea Trials. Unlikely to affect delivery date</w:t>
            </w:r>
          </w:p>
          <w:p>
            <w:pPr>
              <w:pStyle w:val="Normal"/>
              <w:numPr>
                <w:ilvl w:val="0"/>
                <w:numId w:val="12"/>
              </w:numPr>
              <w:rPr/>
            </w:pPr>
            <w:r>
              <w:rPr/>
              <w:t>Vessel completed Sea Trials.  Adjustments being made to main turbine and other pieces of equipment.  Further engine trials expected on Sept 24 to verify adjustments to main turbine.</w:t>
            </w:r>
          </w:p>
          <w:p>
            <w:pPr>
              <w:pStyle w:val="Normal"/>
              <w:numPr>
                <w:ilvl w:val="0"/>
                <w:numId w:val="12"/>
              </w:numPr>
              <w:rPr/>
            </w:pPr>
            <w:r>
              <w:rPr/>
              <w:t>Minor turbine problems during sea trials.  Ship still scheduled for gas trials in Japan in Oct.</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b/>
              </w:rPr>
            </w:pPr>
            <w:r>
              <w:rPr>
                <w:b/>
              </w:rPr>
              <w:t>C.2</w:t>
            </w:r>
          </w:p>
        </w:tc>
        <w:tc>
          <w:tcPr>
            <w:tcW w:w="1891" w:type="dxa"/>
            <w:gridSpan w:val="2"/>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pPr>
            <w:r>
              <w:rPr/>
              <w:t>Galt / Sept. 7</w:t>
            </w:r>
          </w:p>
        </w:tc>
        <w:tc>
          <w:tcPr>
            <w:tcW w:w="2714" w:type="dxa"/>
            <w:gridSpan w:val="2"/>
            <w:tcBorders>
              <w:start w:val="single" w:sz="4" w:space="0" w:color="000000"/>
              <w:bottom w:val="single" w:sz="4" w:space="0" w:color="000000"/>
              <w:end w:val="single" w:sz="4" w:space="0" w:color="000000"/>
            </w:tcBorders>
          </w:tcPr>
          <w:p>
            <w:pPr>
              <w:pStyle w:val="Normal"/>
              <w:keepNext w:val="true"/>
              <w:ind w:hanging="720" w:start="720" w:end="0"/>
              <w:rPr>
                <w:b/>
              </w:rPr>
            </w:pPr>
            <w:r>
              <w:rPr>
                <w:b/>
              </w:rPr>
              <w:t>Hoegh Galleon</w:t>
            </w:r>
          </w:p>
          <w:p>
            <w:pPr>
              <w:pStyle w:val="Heading3"/>
              <w:ind w:hanging="0" w:start="0"/>
              <w:rPr>
                <w:rFonts w:ascii="Times New Roman" w:hAnsi="Times New Roman" w:cs="Times New Roman"/>
                <w:b w:val="false"/>
              </w:rPr>
            </w:pPr>
            <w:r>
              <w:rPr>
                <w:rFonts w:cs="Times New Roman" w:ascii="Times New Roman" w:hAnsi="Times New Roman"/>
                <w:b w:val="false"/>
              </w:rPr>
            </w:r>
          </w:p>
        </w:tc>
        <w:tc>
          <w:tcPr>
            <w:tcW w:w="4285" w:type="dxa"/>
            <w:gridSpan w:val="2"/>
            <w:tcBorders>
              <w:start w:val="single" w:sz="4" w:space="0" w:color="000000"/>
              <w:bottom w:val="single" w:sz="4" w:space="0" w:color="000000"/>
              <w:end w:val="single" w:sz="4" w:space="0" w:color="000000"/>
            </w:tcBorders>
          </w:tcPr>
          <w:p>
            <w:pPr>
              <w:pStyle w:val="Normal"/>
              <w:keepNext w:val="true"/>
              <w:numPr>
                <w:ilvl w:val="0"/>
                <w:numId w:val="43"/>
              </w:numPr>
              <w:rPr/>
            </w:pPr>
            <w:r>
              <w:rPr/>
              <w:t>Time Charter of one 87,66 cm LNG ship for   Enron Merchant trade.</w:t>
            </w:r>
          </w:p>
        </w:tc>
        <w:tc>
          <w:tcPr>
            <w:tcW w:w="5716" w:type="dxa"/>
            <w:tcBorders>
              <w:start w:val="single" w:sz="4" w:space="0" w:color="000000"/>
              <w:bottom w:val="single" w:sz="4" w:space="0" w:color="000000"/>
              <w:end w:val="single" w:sz="4" w:space="0" w:color="000000"/>
            </w:tcBorders>
          </w:tcPr>
          <w:p>
            <w:pPr>
              <w:pStyle w:val="Normal"/>
              <w:keepNext w:val="true"/>
              <w:numPr>
                <w:ilvl w:val="0"/>
                <w:numId w:val="44"/>
              </w:numPr>
              <w:rPr/>
            </w:pPr>
            <w:r>
              <w:rPr/>
              <w:t>Vessel departed Oman August 26</w:t>
            </w:r>
            <w:r>
              <w:rPr>
                <w:vertAlign w:val="superscript"/>
              </w:rPr>
              <w:t>th</w:t>
            </w:r>
            <w:r>
              <w:rPr/>
              <w:t>.  Due to arrive Lake Charles on Sept 19.</w:t>
            </w:r>
          </w:p>
          <w:p>
            <w:pPr>
              <w:pStyle w:val="Normal"/>
              <w:keepNext w:val="true"/>
              <w:numPr>
                <w:ilvl w:val="0"/>
                <w:numId w:val="44"/>
              </w:numPr>
              <w:rPr/>
            </w:pPr>
            <w:r>
              <w:rPr/>
              <w:t>Semi annual budgetary meeting planned for week of Oct 8.</w:t>
            </w:r>
          </w:p>
          <w:p>
            <w:pPr>
              <w:pStyle w:val="Normal"/>
              <w:keepNext w:val="true"/>
              <w:numPr>
                <w:ilvl w:val="0"/>
                <w:numId w:val="44"/>
              </w:numPr>
              <w:rPr/>
            </w:pPr>
            <w:r>
              <w:rPr/>
              <w:t>CoU for Qalhat now executed by all parties.  Original Enron copy held by Legal (D. Rogers)</w:t>
            </w:r>
          </w:p>
          <w:p>
            <w:pPr>
              <w:pStyle w:val="Normal"/>
              <w:keepNext w:val="true"/>
              <w:numPr>
                <w:ilvl w:val="0"/>
                <w:numId w:val="44"/>
              </w:numPr>
              <w:rPr/>
            </w:pPr>
            <w:r>
              <w:rPr/>
              <w:t>Continued Oman/US trade.  Open USG about Jan 1.</w:t>
            </w:r>
          </w:p>
          <w:p>
            <w:pPr>
              <w:pStyle w:val="Normal"/>
              <w:keepNext w:val="true"/>
              <w:rPr/>
            </w:pPr>
            <w:r>
              <w:rPr/>
              <w:t xml:space="preserve">  </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C.3</w:t>
            </w:r>
          </w:p>
        </w:tc>
        <w:tc>
          <w:tcPr>
            <w:tcW w:w="1891"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center"/>
              <w:rPr/>
            </w:pPr>
            <w:r>
              <w:rPr/>
              <w:t>Galt / Sept. 7</w:t>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Excalibur</w:t>
            </w:r>
          </w:p>
          <w:p>
            <w:pPr>
              <w:pStyle w:val="Heading5"/>
              <w:keepNext w:val="false"/>
              <w:ind w:hanging="0" w:start="0"/>
              <w:jc w:val="start"/>
              <w:rPr>
                <w:b w:val="false"/>
              </w:rPr>
            </w:pPr>
            <w:r>
              <w:rPr>
                <w:b w:val="false"/>
              </w:rPr>
            </w:r>
          </w:p>
          <w:p>
            <w:pPr>
              <w:pStyle w:val="Normal"/>
              <w:rPr/>
            </w:pPr>
            <w:r>
              <w:rPr/>
            </w:r>
          </w:p>
        </w:tc>
        <w:tc>
          <w:tcPr>
            <w:tcW w:w="4285" w:type="dxa"/>
            <w:gridSpan w:val="2"/>
            <w:tcBorders>
              <w:start w:val="single" w:sz="4" w:space="0" w:color="000000"/>
              <w:bottom w:val="single" w:sz="4" w:space="0" w:color="000000"/>
              <w:end w:val="single" w:sz="4" w:space="0" w:color="000000"/>
            </w:tcBorders>
          </w:tcPr>
          <w:p>
            <w:pPr>
              <w:pStyle w:val="Normal"/>
              <w:numPr>
                <w:ilvl w:val="0"/>
                <w:numId w:val="14"/>
              </w:numPr>
              <w:rPr/>
            </w:pPr>
            <w:r>
              <w:rPr/>
              <w:t>Time Charter of one 138,000 cm LNG ship  for Enron Merchant trade.</w:t>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4"/>
              </w:numPr>
              <w:rPr/>
            </w:pPr>
            <w:r>
              <w:rPr/>
              <w:t>Vessel construction on schedule.  Could be available 6/30/01.</w:t>
            </w:r>
          </w:p>
          <w:p>
            <w:pPr>
              <w:pStyle w:val="Normal"/>
              <w:numPr>
                <w:ilvl w:val="0"/>
                <w:numId w:val="24"/>
              </w:numPr>
              <w:rPr/>
            </w:pPr>
            <w:r>
              <w:rPr/>
              <w:t>Enron consultant in the shipyard to be de-mobilized on Sept 21.</w:t>
            </w:r>
          </w:p>
          <w:p>
            <w:pPr>
              <w:pStyle w:val="Normal"/>
              <w:numPr>
                <w:ilvl w:val="0"/>
                <w:numId w:val="24"/>
              </w:numPr>
              <w:rPr/>
            </w:pPr>
            <w:r>
              <w:rPr/>
              <w:t>Quarterly technical meeting scheduled for week of Sept. 17.</w:t>
            </w:r>
          </w:p>
          <w:p>
            <w:pPr>
              <w:pStyle w:val="Header"/>
              <w:tabs>
                <w:tab w:val="clear" w:pos="4320"/>
                <w:tab w:val="clear" w:pos="8640"/>
              </w:tabs>
              <w:rPr/>
            </w:pPr>
            <w:r>
              <w:rPr/>
            </w:r>
          </w:p>
        </w:tc>
      </w:tr>
      <w:tr>
        <w:trPr>
          <w:trHeight w:val="400" w:hRule="atLeast"/>
        </w:trPr>
        <w:tc>
          <w:tcPr>
            <w:tcW w:w="738" w:type="dxa"/>
            <w:tcBorders>
              <w:start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D</w:t>
            </w:r>
          </w:p>
        </w:tc>
        <w:tc>
          <w:tcPr>
            <w:tcW w:w="1891"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tcPr>
          <w:p>
            <w:pPr>
              <w:pStyle w:val="Heading3"/>
              <w:ind w:hanging="0" w:start="0"/>
              <w:rPr>
                <w:rFonts w:ascii="Times New Roman" w:hAnsi="Times New Roman" w:cs="Times New Roman"/>
              </w:rPr>
            </w:pPr>
            <w:r>
              <w:rPr>
                <w:rFonts w:cs="Times New Roman" w:ascii="Times New Roman" w:hAnsi="Times New Roman"/>
              </w:rPr>
              <w:t>Fuel Management</w:t>
            </w:r>
          </w:p>
        </w:tc>
        <w:tc>
          <w:tcPr>
            <w:tcW w:w="4285"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D.1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Masters / 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rPr>
                <w:b/>
              </w:rPr>
            </w:pPr>
            <w:r>
              <w:rPr>
                <w:b/>
              </w:rPr>
              <w:t xml:space="preserve">EcoEléctrica </w:t>
            </w:r>
          </w:p>
          <w:p>
            <w:pPr>
              <w:pStyle w:val="Heading4"/>
              <w:keepNext w:val="false"/>
              <w:ind w:hanging="720" w:end="0"/>
              <w:rPr>
                <w:rFonts w:ascii="Times New Roman" w:hAnsi="Times New Roman" w:cs="Times New Roman"/>
              </w:rPr>
            </w:pPr>
            <w:r>
              <w:rPr>
                <w:rFonts w:cs="Times New Roman" w:ascii="Times New Roman" w:hAnsi="Times New Roman"/>
              </w:rPr>
              <w:t>E00041201XX</w:t>
            </w:r>
          </w:p>
          <w:p>
            <w:pPr>
              <w:pStyle w:val="Heading5"/>
              <w:keepNext w:val="false"/>
              <w:ind w:hanging="0" w:start="0"/>
              <w:jc w:val="start"/>
              <w:rPr/>
            </w:pPr>
            <w:r>
              <w:rPr/>
              <w:t>Expenditure Year to date:</w:t>
            </w:r>
          </w:p>
          <w:p>
            <w:pPr>
              <w:pStyle w:val="Heading3"/>
              <w:keepNext w:val="false"/>
              <w:ind w:hanging="0" w:start="0"/>
              <w:rPr>
                <w:rFonts w:ascii="Times New Roman" w:hAnsi="Times New Roman" w:cs="Times New Roman"/>
              </w:rPr>
            </w:pPr>
            <w:r>
              <w:rPr>
                <w:rFonts w:cs="Times New Roman" w:ascii="Times New Roman" w:hAnsi="Times New Roman"/>
              </w:rPr>
              <w:t>$69,134</w:t>
            </w:r>
          </w:p>
          <w:p>
            <w:pPr>
              <w:pStyle w:val="Heading3"/>
              <w:ind w:hanging="0" w:start="0"/>
              <w:rPr>
                <w:rFonts w:ascii="Times New Roman" w:hAnsi="Times New Roman" w:cs="Times New Roman"/>
                <w:u w:val="single"/>
              </w:rPr>
            </w:pPr>
            <w:r>
              <w:rPr>
                <w:rFonts w:cs="Times New Roman" w:ascii="Times New Roman" w:hAnsi="Times New Roman"/>
              </w:rPr>
              <w:t>Burn rate: $ 13,827 /mth</w:t>
            </w:r>
          </w:p>
          <w:p>
            <w:pPr>
              <w:pStyle w:val="Normal"/>
              <w:rPr>
                <w:b/>
              </w:rPr>
            </w:pPr>
            <w:r>
              <w:rPr>
                <w:b/>
              </w:rPr>
              <w:t>Fuel Management fee covers expenses</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7"/>
              </w:numPr>
              <w:tabs>
                <w:tab w:val="clear" w:pos="720"/>
              </w:tabs>
              <w:rPr/>
            </w:pPr>
            <w:r>
              <w:rPr/>
              <w:t>Fuel Management for EcoEléctrica /Cabot LNG SPA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47"/>
              </w:numPr>
              <w:rPr/>
            </w:pPr>
            <w:r>
              <w:rPr/>
              <w:t>Current schedule of LNG deliveries:</w:t>
            </w:r>
          </w:p>
          <w:p>
            <w:pPr>
              <w:pStyle w:val="Normal"/>
              <w:keepNext w:val="true"/>
              <w:numPr>
                <w:ilvl w:val="0"/>
                <w:numId w:val="16"/>
              </w:numPr>
              <w:rPr/>
            </w:pPr>
            <w:r>
              <w:rPr/>
              <w:t>Discharged ~120,000 CBM from Matthew on August 16th</w:t>
            </w:r>
          </w:p>
          <w:p>
            <w:pPr>
              <w:pStyle w:val="Normal"/>
              <w:keepNext w:val="true"/>
              <w:numPr>
                <w:ilvl w:val="0"/>
                <w:numId w:val="16"/>
              </w:numPr>
              <w:rPr/>
            </w:pPr>
            <w:r>
              <w:rPr/>
              <w:t xml:space="preserve">Expect 119,000 CBM approx. September 24th </w:t>
            </w:r>
          </w:p>
          <w:p>
            <w:pPr>
              <w:pStyle w:val="Normal"/>
              <w:keepNext w:val="true"/>
              <w:numPr>
                <w:ilvl w:val="0"/>
                <w:numId w:val="16"/>
              </w:numPr>
              <w:rPr/>
            </w:pPr>
            <w:r>
              <w:rPr/>
              <w:t>Both combustion turbines in service</w:t>
            </w:r>
          </w:p>
          <w:p>
            <w:pPr>
              <w:pStyle w:val="Normal"/>
              <w:keepNext w:val="true"/>
              <w:numPr>
                <w:ilvl w:val="0"/>
                <w:numId w:val="10"/>
              </w:numPr>
              <w:tabs>
                <w:tab w:val="clear" w:pos="720"/>
                <w:tab w:val="left" w:pos="1926" w:leader="none"/>
              </w:tabs>
              <w:ind w:hanging="360" w:start="396" w:end="0"/>
              <w:rPr/>
            </w:pPr>
            <w:r>
              <w:rPr/>
              <w:t>“</w:t>
            </w:r>
            <w:r>
              <w:rPr/>
              <w:t>Excess LNG” offered to PREPA at $5.18/MMBtu – 8/24/01</w:t>
            </w:r>
          </w:p>
          <w:p>
            <w:pPr>
              <w:pStyle w:val="Normal"/>
              <w:keepNext w:val="true"/>
              <w:numPr>
                <w:ilvl w:val="0"/>
                <w:numId w:val="10"/>
              </w:numPr>
              <w:tabs>
                <w:tab w:val="clear" w:pos="720"/>
                <w:tab w:val="left" w:pos="1926" w:leader="none"/>
              </w:tabs>
              <w:ind w:hanging="360" w:start="396" w:end="0"/>
              <w:rPr/>
            </w:pPr>
            <w:r>
              <w:rPr/>
              <w:t>Price of non-Winter Cargo LNG is $3.483/mmbtu for all 2001 (does not include the demand charge of $0.846/mmbtu)</w:t>
            </w:r>
          </w:p>
          <w:p>
            <w:pPr>
              <w:pStyle w:val="Normal"/>
              <w:keepNext w:val="true"/>
              <w:numPr>
                <w:ilvl w:val="0"/>
                <w:numId w:val="33"/>
              </w:numPr>
              <w:rPr/>
            </w:pPr>
            <w:r>
              <w:rPr/>
              <w:t>Work on COU agreement still in progress</w:t>
            </w:r>
          </w:p>
          <w:p>
            <w:pPr>
              <w:pStyle w:val="Normal"/>
              <w:keepNext w:val="true"/>
              <w:numPr>
                <w:ilvl w:val="0"/>
                <w:numId w:val="33"/>
              </w:numPr>
              <w:rPr/>
            </w:pPr>
            <w:r>
              <w:rPr/>
              <w:t>Working on feasibility of buying some non-Cabot LNG in both 2001 and 2002</w:t>
            </w:r>
          </w:p>
          <w:p>
            <w:pPr>
              <w:pStyle w:val="Normal"/>
              <w:keepNext w:val="true"/>
              <w:numPr>
                <w:ilvl w:val="0"/>
                <w:numId w:val="33"/>
              </w:numPr>
              <w:rPr/>
            </w:pPr>
            <w:r>
              <w:rPr/>
              <w:t>Non-binding estimate of the quantity and timing of plant LNG requirements for 2002 pending Cabot’s delivery of maintenance schedule for Trinidad and the Matthew</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D.2</w:t>
            </w:r>
          </w:p>
        </w:tc>
        <w:tc>
          <w:tcPr>
            <w:tcW w:w="1891" w:type="dxa"/>
            <w:gridSpan w:val="2"/>
            <w:tcBorders>
              <w:start w:val="single" w:sz="4" w:space="0" w:color="000000"/>
              <w:bottom w:val="single" w:sz="4" w:space="0" w:color="000000"/>
              <w:end w:val="single" w:sz="4" w:space="0" w:color="000000"/>
            </w:tcBorders>
          </w:tcPr>
          <w:p>
            <w:pPr>
              <w:pStyle w:val="Normal"/>
              <w:ind w:hanging="720" w:start="702" w:end="0"/>
              <w:jc w:val="center"/>
              <w:rPr/>
            </w:pPr>
            <w:r>
              <w:rPr/>
              <w:t>Nash / Sept. 7</w:t>
            </w:r>
          </w:p>
          <w:p>
            <w:pPr>
              <w:pStyle w:val="Normal"/>
              <w:ind w:start="720" w:end="0"/>
              <w:rPr/>
            </w:pPr>
            <w:r>
              <w:rPr/>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DPC</w:t>
            </w:r>
          </w:p>
          <w:p>
            <w:pPr>
              <w:pStyle w:val="Heading4"/>
              <w:keepNext w:val="false"/>
              <w:ind w:hanging="720" w:end="0"/>
              <w:rPr>
                <w:rFonts w:ascii="Times New Roman" w:hAnsi="Times New Roman" w:cs="Times New Roman"/>
              </w:rPr>
            </w:pPr>
            <w:r>
              <w:rPr>
                <w:rFonts w:cs="Times New Roman" w:ascii="Times New Roman" w:hAnsi="Times New Roman"/>
              </w:rPr>
              <w:t>E00017801XX</w:t>
            </w:r>
          </w:p>
          <w:p>
            <w:pPr>
              <w:pStyle w:val="BodyText"/>
              <w:keepNext w:val="false"/>
              <w:rPr/>
            </w:pPr>
            <w:r>
              <w:rPr/>
              <w:t>Expenditure year to date :</w:t>
            </w:r>
          </w:p>
          <w:p>
            <w:pPr>
              <w:pStyle w:val="Normal"/>
              <w:rPr>
                <w:b/>
              </w:rPr>
            </w:pPr>
            <w:r>
              <w:rPr>
                <w:b/>
              </w:rPr>
              <w:t>$ 86,286</w:t>
            </w:r>
          </w:p>
          <w:p>
            <w:pPr>
              <w:pStyle w:val="Heading3"/>
              <w:ind w:hanging="0" w:start="0"/>
              <w:rPr>
                <w:rFonts w:ascii="Times New Roman" w:hAnsi="Times New Roman" w:cs="Times New Roman"/>
              </w:rPr>
            </w:pPr>
            <w:r>
              <w:rPr>
                <w:rFonts w:cs="Times New Roman" w:ascii="Times New Roman" w:hAnsi="Times New Roman"/>
              </w:rPr>
              <w:t>Burn rate: $ 17,257 /mth</w:t>
            </w:r>
          </w:p>
          <w:p>
            <w:pPr>
              <w:pStyle w:val="Normal"/>
              <w:rPr>
                <w:b/>
              </w:rPr>
            </w:pPr>
            <w:r>
              <w:rPr>
                <w:b/>
              </w:rPr>
              <w:t xml:space="preserve"> </w:t>
            </w:r>
          </w:p>
        </w:tc>
        <w:tc>
          <w:tcPr>
            <w:tcW w:w="4285" w:type="dxa"/>
            <w:gridSpan w:val="2"/>
            <w:tcBorders>
              <w:start w:val="single" w:sz="4" w:space="0" w:color="000000"/>
              <w:bottom w:val="single" w:sz="4" w:space="0" w:color="000000"/>
              <w:end w:val="single" w:sz="4" w:space="0" w:color="000000"/>
            </w:tcBorders>
          </w:tcPr>
          <w:p>
            <w:pPr>
              <w:pStyle w:val="Normal"/>
              <w:numPr>
                <w:ilvl w:val="0"/>
                <w:numId w:val="23"/>
              </w:numPr>
              <w:tabs>
                <w:tab w:val="clear" w:pos="720"/>
              </w:tabs>
              <w:rPr/>
            </w:pPr>
            <w:r>
              <w:rPr/>
              <w:t>Fuel Management for DPC of LNG SPA’s</w:t>
            </w:r>
          </w:p>
        </w:tc>
        <w:tc>
          <w:tcPr>
            <w:tcW w:w="5716" w:type="dxa"/>
            <w:tcBorders>
              <w:start w:val="single" w:sz="4" w:space="0" w:color="000000"/>
              <w:bottom w:val="single" w:sz="4" w:space="0" w:color="000000"/>
              <w:end w:val="single" w:sz="4" w:space="0" w:color="000000"/>
            </w:tcBorders>
          </w:tcPr>
          <w:p>
            <w:pPr>
              <w:pStyle w:val="Normal"/>
              <w:numPr>
                <w:ilvl w:val="0"/>
                <w:numId w:val="11"/>
              </w:numPr>
              <w:rPr/>
            </w:pPr>
            <w:r>
              <w:rPr/>
              <w:t>Work related to OLNG and ADGAS supply contracts on hold.</w:t>
            </w:r>
          </w:p>
          <w:p>
            <w:pPr>
              <w:pStyle w:val="Normal"/>
              <w:numPr>
                <w:ilvl w:val="0"/>
                <w:numId w:val="11"/>
              </w:numPr>
              <w:rPr/>
            </w:pPr>
            <w:r>
              <w:rPr/>
              <w:t>No further mention by OLNG of visit to Houston in first half of July</w:t>
            </w:r>
          </w:p>
          <w:p>
            <w:pPr>
              <w:pStyle w:val="Normal"/>
              <w:numPr>
                <w:ilvl w:val="0"/>
                <w:numId w:val="11"/>
              </w:numPr>
              <w:rPr/>
            </w:pPr>
            <w:r>
              <w:rPr/>
              <w:t>DPC to take delivery of Lakshmi on November 15</w:t>
            </w:r>
            <w:r>
              <w:rPr>
                <w:vertAlign w:val="superscript"/>
              </w:rPr>
              <w:t>th</w:t>
            </w:r>
            <w:r>
              <w:rPr/>
              <w:t>.</w:t>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E</w:t>
            </w:r>
          </w:p>
        </w:tc>
        <w:tc>
          <w:tcPr>
            <w:tcW w:w="1891" w:type="dxa"/>
            <w:gridSpan w:val="2"/>
            <w:tcBorders>
              <w:bottom w:val="single" w:sz="4" w:space="0" w:color="000000"/>
            </w:tcBorders>
          </w:tcPr>
          <w:p>
            <w:pPr>
              <w:pStyle w:val="Normal"/>
              <w:keepNext w:val="true"/>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 xml:space="preserve">Other </w:t>
            </w:r>
          </w:p>
        </w:tc>
        <w:tc>
          <w:tcPr>
            <w:tcW w:w="4285"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E.1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Galt / 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DPC Project</w:t>
            </w:r>
          </w:p>
          <w:p>
            <w:pPr>
              <w:pStyle w:val="Normal"/>
              <w:keepNext w:val="true"/>
              <w:rPr>
                <w:b/>
              </w:rPr>
            </w:pPr>
            <w:r>
              <w:rPr>
                <w:b/>
              </w:rPr>
              <w:t>Harbor/Terminal Support</w:t>
            </w:r>
          </w:p>
          <w:p>
            <w:pPr>
              <w:pStyle w:val="Normal"/>
              <w:keepNext w:val="true"/>
              <w:rPr/>
            </w:pPr>
            <w:r>
              <w:rPr>
                <w:b/>
              </w:rPr>
              <w:t>061P</w:t>
            </w:r>
            <w:r>
              <w:rPr/>
              <w:t xml:space="preserve"> –</w:t>
            </w:r>
            <w:r>
              <w:rPr>
                <w:b/>
              </w:rPr>
              <w:t>C000194102XX</w:t>
            </w:r>
          </w:p>
          <w:p>
            <w:pPr>
              <w:pStyle w:val="Heading5"/>
              <w:ind w:hanging="0" w:start="0"/>
              <w:jc w:val="start"/>
              <w:rPr/>
            </w:pPr>
            <w:r>
              <w:rPr/>
              <w:t>Expenditure to date:</w:t>
            </w:r>
          </w:p>
          <w:p>
            <w:pPr>
              <w:pStyle w:val="Normal"/>
              <w:keepNext w:val="true"/>
              <w:rPr/>
            </w:pPr>
            <w:r>
              <w:rPr/>
              <w:t>$ _____</w:t>
            </w:r>
            <w:r>
              <w:rPr>
                <w:b/>
              </w:rPr>
              <w:t xml:space="preserve"> </w:t>
            </w:r>
          </w:p>
          <w:p>
            <w:pPr>
              <w:pStyle w:val="Normal"/>
              <w:keepNext w:val="true"/>
              <w:rPr>
                <w:b/>
              </w:rPr>
            </w:pPr>
            <w:r>
              <w:rPr>
                <w:b/>
              </w:rPr>
              <w:t>Burn rate: $ _______  /mth</w:t>
            </w:r>
          </w:p>
          <w:p>
            <w:pPr>
              <w:pStyle w:val="Normal"/>
              <w:keepNext w:val="true"/>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keepNext w:val="true"/>
              <w:numPr>
                <w:ilvl w:val="0"/>
                <w:numId w:val="38"/>
              </w:numPr>
              <w:tabs>
                <w:tab w:val="clear" w:pos="4320"/>
                <w:tab w:val="clear" w:pos="8640"/>
              </w:tabs>
              <w:rPr/>
            </w:pPr>
            <w:r>
              <w:rPr/>
              <w:t>Provide LNG support services to the DPC LNG Terminal project including tugs, harbor and berth procedures, etc.</w:t>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9"/>
              </w:numPr>
              <w:tabs>
                <w:tab w:val="clear" w:pos="720"/>
                <w:tab w:val="left" w:pos="306" w:leader="none"/>
              </w:tabs>
              <w:ind w:hanging="360" w:start="306" w:end="0"/>
              <w:rPr/>
            </w:pPr>
            <w:r>
              <w:rPr/>
              <w:t>Tug construction is on schedule.</w:t>
            </w:r>
          </w:p>
          <w:p>
            <w:pPr>
              <w:pStyle w:val="Normal"/>
              <w:keepNext w:val="true"/>
              <w:numPr>
                <w:ilvl w:val="0"/>
                <w:numId w:val="39"/>
              </w:numPr>
              <w:tabs>
                <w:tab w:val="clear" w:pos="720"/>
                <w:tab w:val="left" w:pos="306" w:leader="none"/>
              </w:tabs>
              <w:ind w:hanging="360" w:start="306" w:end="0"/>
              <w:rPr/>
            </w:pPr>
            <w:r>
              <w:rPr/>
              <w:t>Final test of pilot training program to be performed on Sept 21.</w:t>
            </w:r>
          </w:p>
          <w:p>
            <w:pPr>
              <w:pStyle w:val="Normal"/>
              <w:keepNext w:val="true"/>
              <w:numPr>
                <w:ilvl w:val="0"/>
                <w:numId w:val="39"/>
              </w:numPr>
              <w:tabs>
                <w:tab w:val="clear" w:pos="720"/>
                <w:tab w:val="left" w:pos="306" w:leader="none"/>
              </w:tabs>
              <w:ind w:hanging="360" w:start="306" w:end="0"/>
              <w:rPr/>
            </w:pPr>
            <w:r>
              <w:rPr/>
              <w:t>No further activity due to status of project.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Galt / 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keepNext w:val="false"/>
              <w:ind w:hanging="0" w:start="0"/>
              <w:jc w:val="both"/>
              <w:rPr>
                <w:rFonts w:ascii="Times New Roman" w:hAnsi="Times New Roman" w:cs="Times New Roman"/>
              </w:rPr>
            </w:pPr>
            <w:r>
              <w:rPr>
                <w:rFonts w:cs="Times New Roman" w:ascii="Times New Roman" w:hAnsi="Times New Roman"/>
              </w:rPr>
              <w:t>EcoElectrica</w:t>
            </w:r>
          </w:p>
          <w:p>
            <w:pPr>
              <w:pStyle w:val="Normal"/>
              <w:jc w:val="both"/>
              <w:rPr>
                <w:b/>
              </w:rPr>
            </w:pPr>
            <w:r>
              <w:rPr>
                <w:b/>
              </w:rPr>
              <w:t>Harbor/Terminal Support</w:t>
            </w:r>
          </w:p>
          <w:p>
            <w:pPr>
              <w:pStyle w:val="Heading5"/>
              <w:keepNext w:val="false"/>
              <w:ind w:hanging="0" w:start="0"/>
              <w:jc w:val="both"/>
              <w:rPr/>
            </w:pPr>
            <w:r>
              <w:rPr/>
              <w:t>067S-E00018301XX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2"/>
              </w:numPr>
              <w:tabs>
                <w:tab w:val="clear" w:pos="4320"/>
                <w:tab w:val="clear" w:pos="8640"/>
              </w:tabs>
              <w:rPr/>
            </w:pPr>
            <w:r>
              <w:rPr/>
              <w:t>Provide LNG support service to the EcoElectrica LNG Terminal project including harbor and berth procedures and USGC Support</w:t>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
              </w:numPr>
              <w:tabs>
                <w:tab w:val="clear" w:pos="4320"/>
                <w:tab w:val="clear" w:pos="8640"/>
              </w:tabs>
              <w:ind w:hanging="360" w:start="306" w:end="0"/>
              <w:rPr/>
            </w:pPr>
            <w:r>
              <w:rPr/>
              <w:t>No activity in consideration of pending sale of facility.</w:t>
            </w:r>
          </w:p>
          <w:p>
            <w:pPr>
              <w:pStyle w:val="Header"/>
              <w:tabs>
                <w:tab w:val="clear" w:pos="4320"/>
                <w:tab w:val="clear" w:pos="8640"/>
              </w:tabs>
              <w:rPr/>
            </w:pPr>
            <w:r>
              <w:rPr/>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F</w:t>
            </w:r>
          </w:p>
        </w:tc>
        <w:tc>
          <w:tcPr>
            <w:tcW w:w="1891"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Greg Curran</w:t>
            </w:r>
          </w:p>
        </w:tc>
        <w:tc>
          <w:tcPr>
            <w:tcW w:w="4285" w:type="dxa"/>
            <w:gridSpan w:val="2"/>
            <w:tcBorders>
              <w:bottom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F.1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Nash / Sept 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Grand Bahama LNG Terminal</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7"/>
              </w:numPr>
              <w:tabs>
                <w:tab w:val="clear" w:pos="720"/>
              </w:tabs>
              <w:rPr/>
            </w:pPr>
            <w:r>
              <w:rPr/>
              <w:t>LPG Extraction and Marketing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3"/>
              </w:numPr>
              <w:rPr/>
            </w:pPr>
            <w:r>
              <w:rPr/>
              <w:t>Estimate production of 240,000 MT C3 and 160,000 MT C4 per year assuming 500,000 MMBtu/d pipeline sendout and “average” Nigerian LNG quality</w:t>
            </w:r>
          </w:p>
          <w:p>
            <w:pPr>
              <w:pStyle w:val="Normal"/>
              <w:keepNext w:val="true"/>
              <w:numPr>
                <w:ilvl w:val="0"/>
                <w:numId w:val="33"/>
              </w:numPr>
              <w:tabs>
                <w:tab w:val="clear" w:pos="720"/>
                <w:tab w:val="left" w:pos="992" w:leader="none"/>
              </w:tabs>
              <w:ind w:hanging="360" w:start="992" w:end="0"/>
              <w:rPr/>
            </w:pPr>
            <w:r>
              <w:rPr/>
              <w:t>Nigerian MOU quality spec of 9% max C2 could result in C2 liquids production of 280,000 MT per year assuming 500,000 MMBtu/d sendout and 5.5% pipeline C2 max</w:t>
            </w:r>
          </w:p>
          <w:p>
            <w:pPr>
              <w:pStyle w:val="Normal"/>
              <w:keepNext w:val="true"/>
              <w:numPr>
                <w:ilvl w:val="0"/>
                <w:numId w:val="33"/>
              </w:numPr>
              <w:rPr/>
            </w:pPr>
            <w:r>
              <w:rPr/>
              <w:t xml:space="preserve">Evaluating freight cost and plant cost </w:t>
            </w:r>
          </w:p>
        </w:tc>
      </w:tr>
    </w:tbl>
    <w:p>
      <w:pPr>
        <w:pStyle w:val="Header"/>
        <w:tabs>
          <w:tab w:val="clear" w:pos="4320"/>
          <w:tab w:val="clear" w:pos="8640"/>
        </w:tabs>
        <w:rPr/>
      </w:pPr>
      <w:r>
        <w:rPr/>
      </w:r>
    </w:p>
    <w:sectPr>
      <w:footerReference w:type="default" r:id="rId2"/>
      <w:type w:val="nextPage"/>
      <w:pgSz w:orient="landscape" w:w="16838" w:h="11906"/>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/9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8:40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6"/>
      <w:numFmt w:val="bullet"/>
      <w:lvlText w:val="-"/>
      <w:lvlJc w:val="start"/>
      <w:pPr>
        <w:tabs>
          <w:tab w:val="num" w:pos="738"/>
        </w:tabs>
        <w:ind w:start="738" w:hanging="360"/>
      </w:pPr>
      <w:rPr>
        <w:rFonts w:ascii="Liberation Serif" w:hAnsi="Liberation Serif" w:cs="Liberation Serif"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360"/>
        </w:tabs>
        <w:ind w:start="360" w:hanging="360"/>
      </w:pPr>
      <w:rPr>
        <w:rFonts w:ascii="Symbol" w:hAnsi="Symbol" w:cs="Symbol" w:hint="default"/>
        <w:color w:val="auto"/>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color w:val="auto"/>
      </w:rPr>
    </w:lvl>
  </w:abstractNum>
  <w:abstractNum w:abstractNumId="25">
    <w:lvl w:ilvl="0">
      <w:start w:val="1"/>
      <w:numFmt w:val="bullet"/>
      <w:lvlText w:val="-"/>
      <w:lvlJc w:val="start"/>
      <w:pPr>
        <w:tabs>
          <w:tab w:val="num" w:pos="738"/>
        </w:tabs>
        <w:ind w:start="738" w:hanging="360"/>
      </w:pPr>
      <w:rPr>
        <w:rFonts w:ascii="Liberation Serif" w:hAnsi="Liberation Serif" w:cs="Liberation Serif" w:hint="default"/>
      </w:rPr>
    </w:lvl>
  </w:abstractNum>
  <w:abstractNum w:abstractNumId="26">
    <w:lvl w:ilvl="0">
      <w:start w:val="1"/>
      <w:numFmt w:val="bullet"/>
      <w:lvlText w:val=""/>
      <w:lvlJc w:val="start"/>
      <w:pPr>
        <w:tabs>
          <w:tab w:val="num" w:pos="360"/>
        </w:tabs>
        <w:ind w:start="360" w:hanging="360"/>
      </w:pPr>
      <w:rPr>
        <w:rFonts w:ascii="Symbol" w:hAnsi="Symbol" w:cs="Symbol" w:hint="default"/>
        <w:color w:val="auto"/>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color w:val="auto"/>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Symbol" w:hAnsi="Symbol" w:cs="Symbol" w:hint="default"/>
        <w:color w:val="auto"/>
      </w:rPr>
    </w:lvl>
  </w:abstractNum>
  <w:abstractNum w:abstractNumId="34">
    <w:lvl w:ilvl="0">
      <w:start w:val="1"/>
      <w:numFmt w:val="bullet"/>
      <w:lvlText w:val=""/>
      <w:lvlJc w:val="start"/>
      <w:pPr>
        <w:tabs>
          <w:tab w:val="num" w:pos="360"/>
        </w:tabs>
        <w:ind w:start="360" w:hanging="360"/>
      </w:pPr>
      <w:rPr>
        <w:rFonts w:ascii="Symbol" w:hAnsi="Symbol" w:cs="Symbol" w:hint="default"/>
        <w:color w:val="auto"/>
      </w:rPr>
    </w:lvl>
  </w:abstractNum>
  <w:abstractNum w:abstractNumId="35">
    <w:lvl w:ilvl="0">
      <w:start w:val="1"/>
      <w:numFmt w:val="bullet"/>
      <w:lvlText w:val=""/>
      <w:lvlJc w:val="start"/>
      <w:pPr>
        <w:tabs>
          <w:tab w:val="num" w:pos="360"/>
        </w:tabs>
        <w:ind w:start="360" w:hanging="360"/>
      </w:pPr>
      <w:rPr>
        <w:rFonts w:ascii="Symbol" w:hAnsi="Symbol" w:cs="Symbol" w:hint="default"/>
        <w:color w:val="auto"/>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color w:val="auto"/>
      </w:rPr>
    </w:lvl>
  </w:abstractNum>
  <w:abstractNum w:abstractNumId="41">
    <w:lvl w:ilvl="0">
      <w:start w:val="1"/>
      <w:numFmt w:val="bullet"/>
      <w:lvlText w:val=""/>
      <w:lvlJc w:val="start"/>
      <w:pPr>
        <w:tabs>
          <w:tab w:val="num" w:pos="360"/>
        </w:tabs>
        <w:ind w:start="360" w:hanging="360"/>
      </w:pPr>
      <w:rPr>
        <w:rFonts w:ascii="Symbol" w:hAnsi="Symbol" w:cs="Symbol" w:hint="default"/>
        <w:color w:val="auto"/>
      </w:rPr>
    </w:lvl>
  </w:abstractNum>
  <w:abstractNum w:abstractNumId="42">
    <w:lvl w:ilvl="0">
      <w:start w:val="1"/>
      <w:numFmt w:val="bullet"/>
      <w:lvlText w:val=""/>
      <w:lvlJc w:val="start"/>
      <w:pPr>
        <w:tabs>
          <w:tab w:val="num" w:pos="360"/>
        </w:tabs>
        <w:ind w:start="360" w:hanging="360"/>
      </w:pPr>
      <w:rPr>
        <w:rFonts w:ascii="Symbol" w:hAnsi="Symbol" w:cs="Symbol" w:hint="default"/>
        <w:color w:val="auto"/>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color w:val="auto"/>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color w:val="auto"/>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left" w:pos="7794" w:leader="none"/>
      </w:tabs>
      <w:ind w:hanging="0" w:start="-72" w:end="0"/>
      <w:outlineLvl w:val="1"/>
    </w:pPr>
    <w:rPr>
      <w:u w:val="single"/>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hanging="90" w:start="0" w:end="0"/>
      <w:jc w:val="center"/>
      <w:outlineLvl w:val="5"/>
    </w:pPr>
    <w:rPr>
      <w:b/>
    </w:rPr>
  </w:style>
  <w:style w:type="paragraph" w:styleId="Heading7">
    <w:name w:val="heading 7"/>
    <w:basedOn w:val="Normal"/>
    <w:next w:val="Normal"/>
    <w:qFormat/>
    <w:pPr>
      <w:keepNext w:val="true"/>
      <w:numPr>
        <w:ilvl w:val="6"/>
        <w:numId w:val="1"/>
      </w:numPr>
      <w:outlineLvl w:val="6"/>
    </w:pPr>
    <w:rPr/>
  </w:style>
  <w:style w:type="paragraph" w:styleId="Heading8">
    <w:name w:val="heading 8"/>
    <w:basedOn w:val="Normal"/>
    <w:next w:val="Normal"/>
    <w:qFormat/>
    <w:pPr>
      <w:keepNext w:val="true"/>
      <w:numPr>
        <w:ilvl w:val="7"/>
        <w:numId w:val="1"/>
      </w:numPr>
      <w:ind w:firstLine="90" w:start="-90" w:end="0"/>
      <w:outlineLvl w:val="7"/>
    </w:pPr>
    <w:rPr>
      <w:b/>
    </w:rPr>
  </w:style>
  <w:style w:type="paragraph" w:styleId="Heading9">
    <w:name w:val="heading 9"/>
    <w:basedOn w:val="Normal"/>
    <w:next w:val="Normal"/>
    <w:qFormat/>
    <w:pPr>
      <w:keepNext w:val="true"/>
      <w:numPr>
        <w:ilvl w:val="8"/>
        <w:numId w:val="1"/>
      </w:numPr>
      <w:jc w:val="both"/>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00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color w:val="auto"/>
    </w:rPr>
  </w:style>
  <w:style w:type="character" w:styleId="WW8Num74z0">
    <w:name w:val="WW8Num74z0"/>
    <w:qFormat/>
    <w:rPr>
      <w:rFonts w:ascii="Symbol" w:hAnsi="Symbol" w:cs="Symbol"/>
      <w:color w:val="auto"/>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color w:val="auto"/>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color w:val="auto"/>
    </w:rPr>
  </w:style>
  <w:style w:type="character" w:styleId="WW8Num86z0">
    <w:name w:val="WW8Num86z0"/>
    <w:qFormat/>
    <w:rPr>
      <w:rFonts w:ascii="Symbol" w:hAnsi="Symbol" w:cs="Symbol"/>
      <w:color w:val="auto"/>
    </w:rPr>
  </w:style>
  <w:style w:type="character" w:styleId="WW8Num87z0">
    <w:name w:val="WW8Num87z0"/>
    <w:qFormat/>
    <w:rPr>
      <w:rFonts w:ascii="Symbol" w:hAnsi="Symbol" w:cs="Symbol"/>
      <w:color w:val="auto"/>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00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color w:val="auto"/>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rFonts w:ascii="Symbol" w:hAnsi="Symbol" w:cs="Symbol"/>
      <w:color w:val="auto"/>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color w:val="auto"/>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color w:val="auto"/>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color w:val="auto"/>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color w:val="auto"/>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color w:val="auto"/>
    </w:rPr>
  </w:style>
  <w:style w:type="character" w:styleId="WW8Num146z0">
    <w:name w:val="WW8Num146z0"/>
    <w:qFormat/>
    <w:rPr>
      <w:rFonts w:ascii="Symbol" w:hAnsi="Symbol" w:cs="Symbol"/>
      <w:color w:val="auto"/>
    </w:rPr>
  </w:style>
  <w:style w:type="character" w:styleId="WW8Num147z0">
    <w:name w:val="WW8Num147z0"/>
    <w:qFormat/>
    <w:rPr>
      <w:rFonts w:ascii="Symbol" w:hAnsi="Symbol" w:cs="Symbol"/>
      <w:color w:val="auto"/>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rPr>
  </w:style>
  <w:style w:type="character" w:styleId="WW8Num151z0">
    <w:name w:val="WW8Num151z0"/>
    <w:qFormat/>
    <w:rPr>
      <w:rFonts w:ascii="Symbol" w:hAnsi="Symbol" w:cs="Symbol"/>
    </w:rPr>
  </w:style>
  <w:style w:type="character" w:styleId="WW8Num152z0">
    <w:name w:val="WW8Num152z0"/>
    <w:qFormat/>
    <w:rPr>
      <w:rFonts w:ascii="Symbol" w:hAnsi="Symbol" w:cs="Symbol"/>
      <w:color w:val="auto"/>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color w:val="auto"/>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rPr>
  </w:style>
  <w:style w:type="character" w:styleId="WW8Num158z0">
    <w:name w:val="WW8Num158z0"/>
    <w:qFormat/>
    <w:rPr>
      <w:rFonts w:ascii="Symbol" w:hAnsi="Symbol" w:cs="Symbol"/>
      <w:color w:val="auto"/>
    </w:rPr>
  </w:style>
  <w:style w:type="character" w:styleId="WW8Num159z0">
    <w:name w:val="WW8Num159z0"/>
    <w:qFormat/>
    <w:rPr>
      <w:rFonts w:ascii="Symbol" w:hAnsi="Symbol" w:cs="Symbol"/>
      <w:color w:val="auto"/>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style>
  <w:style w:type="character" w:styleId="WW8Num164z0">
    <w:name w:val="WW8Num164z0"/>
    <w:qFormat/>
    <w:rPr>
      <w:rFonts w:ascii="Symbol" w:hAnsi="Symbol" w:cs="Symbol"/>
      <w:color w:val="auto"/>
    </w:rPr>
  </w:style>
  <w:style w:type="character" w:styleId="WW8Num165z0">
    <w:name w:val="WW8Num165z0"/>
    <w:qFormat/>
    <w:rPr>
      <w:rFonts w:ascii="Symbol" w:hAnsi="Symbol" w:cs="Symbol"/>
    </w:rPr>
  </w:style>
  <w:style w:type="character" w:styleId="WW8NumSt156z0">
    <w:name w:val="WW8NumSt156z0"/>
    <w:qFormat/>
    <w:rPr>
      <w:rFonts w:ascii="Symbol" w:hAnsi="Symbol" w:cs="Symbol"/>
    </w:rPr>
  </w:style>
  <w:style w:type="character" w:styleId="WW8NumSt157z0">
    <w:name w:val="WW8NumSt1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56" w:end="0"/>
    </w:pPr>
    <w:rPr>
      <w:color w:val="0000FF"/>
    </w:rPr>
  </w:style>
  <w:style w:type="paragraph" w:styleId="BodyTextIndent2">
    <w:name w:val="Body Text Indent 2"/>
    <w:basedOn w:val="Normal"/>
    <w:qFormat/>
    <w:pPr>
      <w:ind w:hanging="360" w:start="756" w:end="0"/>
    </w:pPr>
    <w:rPr/>
  </w:style>
  <w:style w:type="paragraph" w:styleId="BodyTextIndent3">
    <w:name w:val="Body Text Indent 3"/>
    <w:basedOn w:val="Normal"/>
    <w:qFormat/>
    <w:pPr>
      <w:ind w:hanging="288" w:start="66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2001-09-07T11:47:00Z</dcterms:created>
  <dc:creator>Sunita Katyal</dc:creator>
  <dc:description/>
  <dc:language>en-CA</dc:language>
  <cp:lastModifiedBy>kathleen mcpherson</cp:lastModifiedBy>
  <cp:lastPrinted>2001-08-17T16:20:00Z</cp:lastPrinted>
  <dcterms:modified xsi:type="dcterms:W3CDTF">2001-09-07T18:59:00Z</dcterms:modified>
  <cp:revision>8</cp:revision>
  <dc:subject/>
  <dc:title>LNG Weekly Report</dc:title>
</cp:coreProperties>
</file>