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NORTHERN PLAINS NATURAL GAS COMPANY</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jc w:val="center"/>
        <w:rPr>
          <w:b/>
        </w:rPr>
      </w:pPr>
      <w:r>
        <w:rPr>
          <w:b/>
        </w:rPr>
        <w:t>Internal Audit</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jc w:val="center"/>
        <w:rPr>
          <w:b/>
        </w:rPr>
      </w:pPr>
      <w:r>
        <w:rPr>
          <w:b/>
        </w:rPr>
      </w:r>
    </w:p>
    <w:p>
      <w:pPr>
        <w:pStyle w:val="Heading3"/>
        <w:ind w:hanging="0" w:start="0"/>
        <w:rPr/>
      </w:pPr>
      <w:r>
        <w:rPr/>
        <w:t>AUDIT REPORT</w:t>
      </w:r>
    </w:p>
    <w:p>
      <w:pPr>
        <w:pStyle w:val="Normal"/>
        <w:rPr/>
      </w:pPr>
      <w:r>
        <w:rPr/>
      </w:r>
    </w:p>
    <w:tbl>
      <w:tblPr>
        <w:tblW w:w="9558" w:type="dxa"/>
        <w:jc w:val="start"/>
        <w:tblInd w:w="0" w:type="dxa"/>
        <w:tblLayout w:type="fixed"/>
        <w:tblCellMar>
          <w:top w:w="0" w:type="dxa"/>
          <w:start w:w="108" w:type="dxa"/>
          <w:bottom w:w="0" w:type="dxa"/>
          <w:end w:w="108" w:type="dxa"/>
        </w:tblCellMar>
      </w:tblPr>
      <w:tblGrid>
        <w:gridCol w:w="1548"/>
        <w:gridCol w:w="4320"/>
        <w:gridCol w:w="1440"/>
        <w:gridCol w:w="2250"/>
      </w:tblGrid>
      <w:tr>
        <w:trPr/>
        <w:tc>
          <w:tcPr>
            <w:tcW w:w="1548"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Audit Title:</w:t>
            </w:r>
          </w:p>
        </w:tc>
        <w:tc>
          <w:tcPr>
            <w:tcW w:w="432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Employee Expense Reports</w:t>
            </w:r>
          </w:p>
        </w:tc>
        <w:tc>
          <w:tcPr>
            <w:tcW w:w="144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Auditor:</w:t>
            </w:r>
          </w:p>
        </w:tc>
        <w:tc>
          <w:tcPr>
            <w:tcW w:w="225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Douglas D. Gunthert</w:t>
            </w:r>
          </w:p>
        </w:tc>
      </w:tr>
      <w:tr>
        <w:trPr/>
        <w:tc>
          <w:tcPr>
            <w:tcW w:w="1548"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432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144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225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r>
      <w:tr>
        <w:trPr/>
        <w:tc>
          <w:tcPr>
            <w:tcW w:w="1548"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Audit Period:</w:t>
            </w:r>
          </w:p>
        </w:tc>
        <w:tc>
          <w:tcPr>
            <w:tcW w:w="432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2000-2001</w:t>
            </w:r>
          </w:p>
        </w:tc>
        <w:tc>
          <w:tcPr>
            <w:tcW w:w="144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Date Issued:</w:t>
            </w:r>
          </w:p>
        </w:tc>
        <w:tc>
          <w:tcPr>
            <w:tcW w:w="225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October 5, 2001</w:t>
            </w:r>
          </w:p>
        </w:tc>
      </w:tr>
      <w:tr>
        <w:trPr/>
        <w:tc>
          <w:tcPr>
            <w:tcW w:w="1548" w:type="dxa"/>
            <w:tcBorders>
              <w:bottom w:val="single" w:sz="24" w:space="0" w:color="000000"/>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4320" w:type="dxa"/>
            <w:tcBorders>
              <w:bottom w:val="single" w:sz="24" w:space="0" w:color="000000"/>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1440" w:type="dxa"/>
            <w:tcBorders>
              <w:bottom w:val="single" w:sz="24" w:space="0" w:color="000000"/>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2250" w:type="dxa"/>
            <w:tcBorders>
              <w:bottom w:val="single" w:sz="24" w:space="0" w:color="000000"/>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r>
    </w:tbl>
    <w:p>
      <w:pPr>
        <w:pStyle w:val="Header"/>
        <w:tabs>
          <w:tab w:val="clear" w:pos="4320"/>
          <w:tab w:val="clear" w:pos="8640"/>
        </w:tabs>
        <w:rPr/>
      </w:pPr>
      <w:r>
        <w:rPr/>
      </w:r>
    </w:p>
    <w:p>
      <w:pPr>
        <w:pStyle w:val="Normal"/>
        <w:numPr>
          <w:ilvl w:val="0"/>
          <w:numId w:val="0"/>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0"/>
        <w:rPr/>
      </w:pPr>
      <w:r>
        <w:rPr>
          <w:u w:val="single"/>
        </w:rPr>
        <w:t>BACKGROUND</w:t>
      </w:r>
      <w:r>
        <w:rPr/>
        <w:t xml:space="preserv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Northern Plains Natural Gas (NPNG) employees incur travel and other expenses conducting business for Northern Border Pipeline Company (NBPL) and Northern Border Partners, L.P. and its subsidiaries.  To obtain reimbursement for these expenses, employees submit expense reports.  Expense reports were processed using the Excel based system.  However, starting in 2001, all expense reports are processed through the Enron Corp. (Enron) Concur Technologies Expense Management System (XMS).  The XMS system is run through the Enron Intranet.  Accounts Payable in Houston processes the expense reports after they have been approved.  The Accounts Payable processing center has recently been outsourced to a company named Source Net Solutions.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0"/>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0"/>
        <w:rPr/>
      </w:pPr>
      <w:r>
        <w:rPr>
          <w:u w:val="single"/>
        </w:rPr>
        <w:t>OBJECTIVES</w:t>
      </w:r>
      <w:r>
        <w:rPr/>
        <w:t xml:space="preserv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The objectives of the audit were to: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3"/>
        </w:numPr>
        <w:tabs>
          <w:tab w:val="clear" w:pos="72"/>
          <w:tab w:val="clear" w:pos="144"/>
          <w:tab w:val="clear" w:pos="216"/>
          <w:tab w:val="clear" w:pos="288"/>
          <w:tab w:val="clear" w:pos="360"/>
          <w:tab w:val="clear" w:pos="432"/>
          <w:tab w:val="clear" w:pos="504"/>
          <w:tab w:val="clear" w:pos="576"/>
          <w:tab w:val="clear" w:pos="648"/>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20" w:leader="none"/>
        </w:tabs>
        <w:rPr/>
      </w:pPr>
      <w:r>
        <w:rPr/>
        <w:t xml:space="preserve">Ensure that employee expense reports submitted by NPNG employees are prepared, approved, submitted and processed in accordance with the Enron Guidelines and the NBPL Policy.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3"/>
        </w:numPr>
        <w:tabs>
          <w:tab w:val="clear" w:pos="72"/>
          <w:tab w:val="clear" w:pos="144"/>
          <w:tab w:val="clear" w:pos="216"/>
          <w:tab w:val="clear" w:pos="288"/>
          <w:tab w:val="clear" w:pos="360"/>
          <w:tab w:val="clear" w:pos="432"/>
          <w:tab w:val="clear" w:pos="504"/>
          <w:tab w:val="clear" w:pos="576"/>
          <w:tab w:val="clear" w:pos="648"/>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20" w:leader="none"/>
        </w:tabs>
        <w:rPr/>
      </w:pPr>
      <w:r>
        <w:rPr/>
        <w:t xml:space="preserve">Ensure that expenses submitted on expense reports are accurate and properly supported.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3"/>
        </w:numPr>
        <w:tabs>
          <w:tab w:val="clear" w:pos="72"/>
          <w:tab w:val="clear" w:pos="144"/>
          <w:tab w:val="clear" w:pos="216"/>
          <w:tab w:val="clear" w:pos="288"/>
          <w:tab w:val="clear" w:pos="360"/>
          <w:tab w:val="clear" w:pos="432"/>
          <w:tab w:val="clear" w:pos="504"/>
          <w:tab w:val="clear" w:pos="576"/>
          <w:tab w:val="clear" w:pos="648"/>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20" w:leader="none"/>
        </w:tabs>
        <w:rPr/>
      </w:pPr>
      <w:r>
        <w:rPr/>
        <w:t xml:space="preserve">Determine that the Enron Guidelines and the NBPL Policy are appropriate.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0"/>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0"/>
        <w:rPr/>
      </w:pPr>
      <w:r>
        <w:rPr>
          <w:u w:val="single"/>
        </w:rPr>
        <w:t>SCOPE</w:t>
      </w:r>
      <w:r>
        <w:rPr/>
        <w:t xml:space="preserv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The audit work included: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2"/>
        </w:numPr>
        <w:tabs>
          <w:tab w:val="clear" w:pos="72"/>
          <w:tab w:val="clear" w:pos="144"/>
          <w:tab w:val="clear" w:pos="216"/>
          <w:tab w:val="clear" w:pos="288"/>
          <w:tab w:val="clear" w:pos="360"/>
          <w:tab w:val="clear" w:pos="432"/>
          <w:tab w:val="clear" w:pos="504"/>
          <w:tab w:val="clear" w:pos="576"/>
          <w:tab w:val="clear" w:pos="648"/>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20" w:leader="none"/>
        </w:tabs>
        <w:rPr/>
      </w:pPr>
      <w:r>
        <w:rPr/>
        <w:t xml:space="preserve">Reviewing the Enron Guidelines and the NBPL Policy.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2"/>
        </w:numPr>
        <w:tabs>
          <w:tab w:val="clear" w:pos="72"/>
          <w:tab w:val="clear" w:pos="144"/>
          <w:tab w:val="clear" w:pos="216"/>
          <w:tab w:val="clear" w:pos="288"/>
          <w:tab w:val="clear" w:pos="360"/>
          <w:tab w:val="clear" w:pos="432"/>
          <w:tab w:val="clear" w:pos="504"/>
          <w:tab w:val="clear" w:pos="576"/>
          <w:tab w:val="clear" w:pos="648"/>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20" w:leader="none"/>
        </w:tabs>
        <w:rPr/>
      </w:pPr>
      <w:r>
        <w:rPr/>
        <w:t xml:space="preserve">Interviewing appropriate individuals to determine how expense reports are submitted and processed.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2"/>
        </w:numPr>
        <w:tabs>
          <w:tab w:val="clear" w:pos="72"/>
          <w:tab w:val="clear" w:pos="144"/>
          <w:tab w:val="clear" w:pos="216"/>
          <w:tab w:val="clear" w:pos="288"/>
          <w:tab w:val="clear" w:pos="360"/>
          <w:tab w:val="clear" w:pos="432"/>
          <w:tab w:val="clear" w:pos="504"/>
          <w:tab w:val="clear" w:pos="576"/>
          <w:tab w:val="clear" w:pos="648"/>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20" w:leader="none"/>
        </w:tabs>
        <w:rPr/>
      </w:pPr>
      <w:r>
        <w:rPr/>
        <w:t>Selecting twenty-seven expense reports from twelve employees from NPNG’s Marketing, Business Development and Operations and performing tests of the reports submitted by these employees.</w:t>
      </w:r>
    </w:p>
    <w:p>
      <w:pPr>
        <w:pStyle w:val="Normal"/>
        <w:numPr>
          <w:ilvl w:val="0"/>
          <w:numId w:val="0"/>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0"/>
        <w:rPr>
          <w:u w:val="single"/>
        </w:rPr>
      </w:pPr>
      <w:r>
        <w:rPr>
          <w:u w:val="single"/>
        </w:rPr>
      </w:r>
    </w:p>
    <w:p>
      <w:pPr>
        <w:pStyle w:val="Heading5"/>
        <w:ind w:hanging="0" w:start="0"/>
        <w:rPr/>
      </w:pPr>
      <w:r>
        <w:rPr/>
        <w:t>FINDINGS/RECOMMENDATIONS</w:t>
      </w:r>
      <w:r>
        <w:rPr>
          <w:u w:val="none"/>
        </w:rPr>
        <w:t xml:space="preserv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u w:val="none"/>
        </w:rPr>
      </w:pPr>
      <w:r>
        <w:rPr>
          <w:u w:val="none"/>
        </w:rPr>
      </w:r>
    </w:p>
    <w:p>
      <w:pPr>
        <w:pStyle w:val="Heading5"/>
        <w:ind w:hanging="0" w:start="0"/>
        <w:rPr/>
      </w:pPr>
      <w:r>
        <w:rPr/>
        <w:t xml:space="preserve">Documentation Missing From Excel Expense Reports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Six of the employee expense reports selected for testing were from the previous Excel system.  The originals and supporting documentation from all Excel reports were scanned into the Envision system and the originals were placed into long-term storage.  Accounts Payable and Source Net Solutions personnel provided copies of the expense reports (from Envision), but were unable to find the supporting documentation for five of the six reports selected for testing.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BodyTextIndent"/>
        <w:rPr/>
      </w:pPr>
      <w:r>
        <w:rPr/>
        <w:t xml:space="preserve">Recommendation: The Accounts Payable processing center needs to establish procedures to ensure that supporting documentation is available for all expense reports.  </w:t>
      </w:r>
    </w:p>
    <w:p>
      <w:pPr>
        <w:pStyle w:val="BodyTextIndent"/>
        <w:rPr/>
      </w:pPr>
      <w:r>
        <w:rPr/>
      </w:r>
    </w:p>
    <w:p>
      <w:pPr>
        <w:pStyle w:val="BodyTextIndent"/>
        <w:ind w:start="864" w:end="0"/>
        <w:rPr/>
      </w:pPr>
      <w:r>
        <w:rPr/>
        <w:t xml:space="preserve">Action Plan/Management Comment: Judy Knepshield, Director of Accounting (who oversees the Accounts Payable process), agrees with the recommendation.  This new procedure will be written by October 15, 2001.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ind w:start="432" w:end="0"/>
        <w:rPr/>
      </w:pPr>
      <w:r>
        <w:rPr/>
      </w:r>
    </w:p>
    <w:p>
      <w:pPr>
        <w:pStyle w:val="Heading5"/>
        <w:ind w:hanging="0" w:start="0"/>
        <w:rPr>
          <w:u w:val="none"/>
        </w:rPr>
      </w:pPr>
      <w:r>
        <w:rPr/>
        <w:t xml:space="preserve">Documentation of Entertainment Expenses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u w:val="none"/>
        </w:rPr>
      </w:pPr>
      <w:r>
        <w:rPr>
          <w:u w:val="none"/>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Entertainment expenses require more extensive documentation than other types of expenses.  Several expense reports reviewed that included entertainment did not contain all of the documentation required by Enron Guidelines and NBPL Policy.  Examples of documentation not shown includes the business relationship and affiliation, the titles of people for whom the entertainment was provided, the place and nature of the business discussion preceding or following the entertainment, etc.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BodyTextIndent"/>
        <w:rPr/>
      </w:pPr>
      <w:r>
        <w:rPr/>
        <w:t xml:space="preserve">Recommendation: We recommend that documentation requirements of expense reports be communicated to all employees.  This may require that the XMS expense report form be changed to help ensure that documentation requirements are met.  We also recommend that reviewers of expense reports ensure that documentation requirements are met.  </w:t>
      </w:r>
    </w:p>
    <w:p>
      <w:pPr>
        <w:pStyle w:val="BodyTextIndent"/>
        <w:rPr/>
      </w:pPr>
      <w:r>
        <w:rPr/>
      </w:r>
    </w:p>
    <w:p>
      <w:pPr>
        <w:pStyle w:val="BodyTextIndent"/>
        <w:ind w:start="864" w:end="0"/>
        <w:rPr/>
      </w:pPr>
      <w:r>
        <w:rPr/>
        <w:t xml:space="preserve">Action Plan/Management Comment: Judy Knepshield stated that she would review entertainment expense documentation requirements to determine if the XMS report format needs to be changed to help ensure that the appropriate documentation is placed on the expense reports.  These requirements will then be communicated to all employees who use the XMS system.  This will be completed by the end of 2001.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ind w:start="432" w:end="0"/>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u w:val="single"/>
        </w:rPr>
        <w:t>Business Purpose Explanation</w:t>
      </w:r>
      <w:r>
        <w:rPr/>
        <w:t xml:space="preserv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The business purpose on some of the expense reports was noted as “business expenses”, “report of expenses”, etc.  This is not an adequate explanation of the purpose of an expense for tax purposes.  This was confirmed in discussions with the Enron coordinator for Accounts Payable (Judy Knepshield) and the NPNG Director of Tax (David Borcyk).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BodyTextIndent"/>
        <w:rPr/>
      </w:pPr>
      <w:r>
        <w:rPr/>
        <w:t xml:space="preserve">Recommendation: We recommend that the need for a proper explanation for the purpose of a business trip be communicated to all employees.  We also recommend that reviewers of expense reports ensure that the business purpose noted on the expense report is appropriate.  </w:t>
      </w:r>
    </w:p>
    <w:p>
      <w:pPr>
        <w:pStyle w:val="BodyTextIndent"/>
        <w:rPr/>
      </w:pPr>
      <w:r>
        <w:rPr/>
      </w:r>
    </w:p>
    <w:p>
      <w:pPr>
        <w:pStyle w:val="BodyTextIndent"/>
        <w:ind w:start="864" w:end="0"/>
        <w:rPr/>
      </w:pPr>
      <w:r>
        <w:rPr/>
        <w:t xml:space="preserve">Action Plan/Management Comment: Judy Knepshield agrees with the recommendation. This will be completed by October 15.  </w:t>
      </w:r>
    </w:p>
    <w:p>
      <w:pPr>
        <w:pStyle w:val="BodyTextIndent"/>
        <w:ind w:start="864" w:end="0"/>
        <w:rPr/>
      </w:pPr>
      <w:r>
        <w:rPr/>
      </w:r>
    </w:p>
    <w:p>
      <w:pPr>
        <w:pStyle w:val="BodyTextIndent"/>
        <w:ind w:start="0" w:end="0"/>
        <w:rPr/>
      </w:pPr>
      <w:r>
        <w:rPr>
          <w:u w:val="single"/>
        </w:rPr>
        <w:t>Gifts</w:t>
      </w:r>
      <w:r>
        <w:rPr/>
        <w:t xml:space="preserve"> </w:t>
      </w:r>
    </w:p>
    <w:p>
      <w:pPr>
        <w:pStyle w:val="BodyTextIndent"/>
        <w:ind w:start="0" w:end="0"/>
        <w:rPr/>
      </w:pPr>
      <w:r>
        <w:rPr/>
      </w:r>
    </w:p>
    <w:p>
      <w:pPr>
        <w:pStyle w:val="BodyTextIndent"/>
        <w:ind w:start="0" w:end="0"/>
        <w:rPr/>
      </w:pPr>
      <w:r>
        <w:rPr/>
        <w:t xml:space="preserve">Small gifts for customers were claimed on a few of the expense reports reviewed.  However, the Enron Guidelines and the NBPL Policy do not contain any requirements for the reimbursement of gifts given.  </w:t>
      </w:r>
    </w:p>
    <w:p>
      <w:pPr>
        <w:pStyle w:val="BodyTextIndent"/>
        <w:ind w:start="0" w:end="0"/>
        <w:rPr/>
      </w:pPr>
      <w:r>
        <w:rPr/>
      </w:r>
    </w:p>
    <w:p>
      <w:pPr>
        <w:pStyle w:val="BodyTextIndent"/>
        <w:rPr/>
      </w:pPr>
      <w:r>
        <w:rPr/>
        <w:t xml:space="preserve">Recommendation: We recommend that the requirements for gifts be researched to determine if the reimbursement for gifts should be included in employee expense reports.  </w:t>
      </w:r>
    </w:p>
    <w:p>
      <w:pPr>
        <w:pStyle w:val="BodyTextIndent"/>
        <w:rPr/>
      </w:pPr>
      <w:r>
        <w:rPr/>
      </w:r>
    </w:p>
    <w:p>
      <w:pPr>
        <w:pStyle w:val="BodyTextIndent"/>
        <w:ind w:start="864" w:end="0"/>
        <w:rPr/>
      </w:pPr>
      <w:r>
        <w:rPr/>
        <w:t xml:space="preserve">Action Plan/Management Comment: Judy Knepshield agreed to research the requirements for gifts.  Possibilities include not allowing gifts to be claimed on employee expense reports to limiting the amount that can be claimed under restricted situations.  If gifts are allowed to be claimed, the format for the expense report may need to be changed.  This will be completed by the end of the year.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ind w:start="432" w:end="0"/>
        <w:rPr/>
      </w:pPr>
      <w:r>
        <w:rPr/>
      </w:r>
    </w:p>
    <w:p>
      <w:pPr>
        <w:pStyle w:val="Heading5"/>
        <w:ind w:hanging="0" w:start="0"/>
        <w:rPr/>
      </w:pPr>
      <w:r>
        <w:rPr/>
        <w:t xml:space="preserve">Policies and Procedures </w:t>
      </w:r>
    </w:p>
    <w:p>
      <w:pPr>
        <w:pStyle w:val="Normal"/>
        <w:rPr/>
      </w:pPr>
      <w:r>
        <w:rPr/>
      </w:r>
    </w:p>
    <w:p>
      <w:pPr>
        <w:pStyle w:val="Normal"/>
        <w:rPr/>
      </w:pPr>
      <w:r>
        <w:rPr/>
        <w:t xml:space="preserve">A comparison of the Enron Guidelines and the NBPL Policy show areas where both documents need to be updated.  For example, both documents contain out-of-date references to travel agencies, titles of personnel, procedures for processing reports, etc.  In addition, there are some areas where the Enron Guidelines are more restrictive than the NBPL Policy.  An example would be where the Enron Guidelines show higher approval rates for the use of a company vehicle, per diem, approval of expense reports, approval of temporary expense advances, etc.  Other examples would be where the Enron Guidelines state that rental cars should be the last option and where the Enron Guidelines have more restrictive requirements for reimbursement of overtime meals.  </w:t>
      </w:r>
    </w:p>
    <w:p>
      <w:pPr>
        <w:pStyle w:val="Normal"/>
        <w:rPr/>
      </w:pPr>
      <w:r>
        <w:rPr/>
      </w:r>
    </w:p>
    <w:p>
      <w:pPr>
        <w:pStyle w:val="Normal"/>
        <w:ind w:start="720" w:end="0"/>
        <w:rPr/>
      </w:pPr>
      <w:r>
        <w:rPr/>
        <w:t xml:space="preserve">Recommendation: We recommend that the Enron Guidelines be reviewed and updated.  We also recommend that the NBPL Policy be discontinued and that the Enron Guidelines be followed for all NPNG employee travel and related expenses.  </w:t>
      </w:r>
    </w:p>
    <w:p>
      <w:pPr>
        <w:pStyle w:val="Normal"/>
        <w:ind w:start="720" w:end="0"/>
        <w:rPr/>
      </w:pPr>
      <w:r>
        <w:rPr/>
      </w:r>
    </w:p>
    <w:p>
      <w:pPr>
        <w:pStyle w:val="BodyTextIndent2"/>
        <w:rPr/>
      </w:pPr>
      <w:r>
        <w:rPr/>
        <w:t xml:space="preserve">Action Plan/Management Comment: Judy Knepshield agreed with this recommendation.  She stated that the Enron Guidelines would be reviewed and revised by the end of the year.  Patty Wiederholt, Partnership Controller for NPNG agreed that the NBPL Policy eliminated.  She said this would be accomplished by the second quarter of 2002.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Handwriting">
    <w:charset w:val="00" w:characterSet="windows-1252"/>
    <w:family w:val="script"/>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42" w:leader="none"/>
      </w:tabs>
      <w:rPr/>
    </w:pPr>
    <w:r>
      <w:rPr>
        <w:sz w:val="16"/>
        <w:u w:val="single"/>
      </w:rPr>
      <w:t>Employee Expense Report Audit Report  (Continued)</w:t>
    </w:r>
    <w:r>
      <w:rPr>
        <w:sz w:val="16"/>
      </w:rPr>
      <w:t xml:space="preserve">: </w:t>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32"/>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 w:leader="none"/>
        <w:tab w:val="left" w:pos="144" w:leader="none"/>
        <w:tab w:val="left" w:pos="216" w:leader="none"/>
        <w:tab w:val="left" w:pos="288" w:leader="none"/>
        <w:tab w:val="left" w:pos="360" w:leader="none"/>
        <w:tab w:val="left" w:pos="432" w:leader="none"/>
        <w:tab w:val="left" w:pos="504" w:leader="none"/>
        <w:tab w:val="left" w:pos="576" w:leader="none"/>
        <w:tab w:val="left" w:pos="648" w:leader="none"/>
        <w:tab w:val="left" w:pos="720" w:leader="none"/>
        <w:tab w:val="left" w:pos="792" w:leader="none"/>
        <w:tab w:val="left" w:pos="864" w:leader="none"/>
        <w:tab w:val="left" w:pos="936" w:leader="none"/>
        <w:tab w:val="left" w:pos="1008" w:leader="none"/>
        <w:tab w:val="left" w:pos="1080" w:leader="none"/>
        <w:tab w:val="left" w:pos="1152" w:leader="none"/>
        <w:tab w:val="left" w:pos="1224" w:leader="none"/>
        <w:tab w:val="left" w:pos="1296" w:leader="none"/>
        <w:tab w:val="left" w:pos="1368" w:leader="none"/>
        <w:tab w:val="left" w:pos="1440" w:leader="none"/>
        <w:tab w:val="left" w:pos="1512" w:leader="none"/>
        <w:tab w:val="left" w:pos="1584" w:leader="none"/>
      </w:tabs>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0"/>
    </w:pPr>
    <w:rPr>
      <w:b/>
    </w:rPr>
  </w:style>
  <w:style w:type="paragraph" w:styleId="Heading2">
    <w:name w:val="heading 2"/>
    <w:basedOn w:val="Normal"/>
    <w:next w:val="Normal"/>
    <w:qFormat/>
    <w:pPr>
      <w:keepNext w:val="true"/>
      <w:numPr>
        <w:ilvl w:val="1"/>
        <w:numId w:val="1"/>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jc w:val="center"/>
      <w:outlineLvl w:val="1"/>
    </w:pPr>
    <w:rPr>
      <w:b/>
    </w:rPr>
  </w:style>
  <w:style w:type="paragraph" w:styleId="Heading3">
    <w:name w:val="heading 3"/>
    <w:basedOn w:val="Normal"/>
    <w:next w:val="Normal"/>
    <w:qFormat/>
    <w:pPr>
      <w:keepNext w:val="true"/>
      <w:numPr>
        <w:ilvl w:val="2"/>
        <w:numId w:val="1"/>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jc w:val="center"/>
      <w:outlineLvl w:val="2"/>
    </w:pPr>
    <w:rPr>
      <w:b/>
      <w:u w:val="single"/>
    </w:rPr>
  </w:style>
  <w:style w:type="paragraph" w:styleId="Heading4">
    <w:name w:val="heading 4"/>
    <w:basedOn w:val="Normal"/>
    <w:next w:val="Normal"/>
    <w:qFormat/>
    <w:pPr>
      <w:keepNext w:val="true"/>
      <w:numPr>
        <w:ilvl w:val="3"/>
        <w:numId w:val="1"/>
      </w:numPr>
      <w:outlineLvl w:val="3"/>
    </w:pPr>
    <w:rPr>
      <w:rFonts w:ascii="Lucida Handwriting" w:hAnsi="Lucida Handwriting" w:cs="Lucida Handwriting"/>
      <w:sz w:val="52"/>
    </w:rPr>
  </w:style>
  <w:style w:type="paragraph" w:styleId="Heading5">
    <w:name w:val="heading 5"/>
    <w:basedOn w:val="Normal"/>
    <w:next w:val="Normal"/>
    <w:qFormat/>
    <w:pPr>
      <w:keepNext w:val="true"/>
      <w:numPr>
        <w:ilvl w:val="4"/>
        <w:numId w:val="1"/>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4"/>
    </w:pPr>
    <w:rPr>
      <w:u w:val="singl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center" w:pos="4986" w:leader="none"/>
        <w:tab w:val="right" w:pos="9972" w:leader="none"/>
      </w:tabs>
    </w:pPr>
    <w:rPr/>
  </w:style>
  <w:style w:type="paragraph" w:styleId="Header">
    <w:name w:val="header"/>
    <w:basedOn w:val="Normal"/>
    <w:p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center" w:pos="4320" w:leader="none"/>
        <w:tab w:val="right" w:pos="8640" w:leader="none"/>
      </w:tabs>
    </w:pPr>
    <w:rPr/>
  </w:style>
  <w:style w:type="paragraph" w:styleId="Footer">
    <w:name w:val="footer"/>
    <w:basedOn w:val="Normal"/>
    <w:p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ind w:hanging="0" w:start="432" w:end="0"/>
    </w:pPr>
    <w:rPr/>
  </w:style>
  <w:style w:type="paragraph" w:styleId="BodyTextIndent2">
    <w:name w:val="Body Text Indent 2"/>
    <w:basedOn w:val="Normal"/>
    <w:qFormat/>
    <w:pPr>
      <w:ind w:hanging="0" w:start="10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Audit Report.dot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2001-10-01T16:15:00Z</dcterms:created>
  <dc:creator>dgunthe</dc:creator>
  <dc:description/>
  <dc:language>en-CA</dc:language>
  <cp:lastModifiedBy>dgunthe</cp:lastModifiedBy>
  <cp:lastPrinted>2001-09-19T13:50:00Z</cp:lastPrinted>
  <dcterms:modified xsi:type="dcterms:W3CDTF">2001-10-05T12:30:00Z</dcterms:modified>
  <cp:revision>15</cp:revision>
  <dc:subject/>
  <dc:title>NORTHERN PLAINS NATURAL GAS COMPANY</dc:title>
</cp:coreProperties>
</file>