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PUC DOCKET NO. 23220</w:t>
      </w:r>
    </w:p>
    <w:p>
      <w:pPr>
        <w:pStyle w:val="Normal"/>
        <w:jc w:val="center"/>
        <w:rPr>
          <w:b/>
          <w:color w:val="000000"/>
        </w:rPr>
      </w:pPr>
      <w:r>
        <w:rPr>
          <w:b/>
          <w:color w:val="000000"/>
        </w:rPr>
      </w:r>
    </w:p>
    <w:tbl>
      <w:tblPr>
        <w:tblW w:w="9576" w:type="dxa"/>
        <w:jc w:val="start"/>
        <w:tblInd w:w="0" w:type="dxa"/>
        <w:tblLayout w:type="fixed"/>
        <w:tblCellMar>
          <w:top w:w="0" w:type="dxa"/>
          <w:start w:w="108" w:type="dxa"/>
          <w:bottom w:w="0" w:type="dxa"/>
          <w:end w:w="108" w:type="dxa"/>
        </w:tblCellMar>
      </w:tblPr>
      <w:tblGrid>
        <w:gridCol w:w="4428"/>
        <w:gridCol w:w="630"/>
        <w:gridCol w:w="4518"/>
      </w:tblGrid>
      <w:tr>
        <w:trPr/>
        <w:tc>
          <w:tcPr>
            <w:tcW w:w="4428" w:type="dxa"/>
            <w:tcBorders/>
          </w:tcPr>
          <w:p>
            <w:pPr>
              <w:pStyle w:val="Normal"/>
              <w:rPr>
                <w:b/>
                <w:color w:val="000000"/>
              </w:rPr>
            </w:pPr>
            <w:r>
              <w:rPr>
                <w:b/>
                <w:color w:val="000000"/>
              </w:rPr>
              <w:t>PETITION OF THE ELECTRIC RELIABILITY COUNCIL OF TEXAS FOR APPROVAL OF THE ERCOT PROTOCOLS</w:t>
            </w:r>
          </w:p>
        </w:tc>
        <w:tc>
          <w:tcPr>
            <w:tcW w:w="630" w:type="dxa"/>
            <w:tcBorders/>
          </w:tcPr>
          <w:p>
            <w:pPr>
              <w:pStyle w:val="Normal"/>
              <w:jc w:val="center"/>
              <w:rPr>
                <w:b/>
                <w:color w:val="000000"/>
              </w:rPr>
            </w:pPr>
            <w:r>
              <w:rPr>
                <w:b/>
                <w:color w:val="000000"/>
              </w:rPr>
              <w:t>§</w:t>
            </w:r>
          </w:p>
          <w:p>
            <w:pPr>
              <w:pStyle w:val="Normal"/>
              <w:jc w:val="center"/>
              <w:rPr>
                <w:b/>
                <w:color w:val="000000"/>
              </w:rPr>
            </w:pPr>
            <w:r>
              <w:rPr>
                <w:b/>
                <w:color w:val="000000"/>
              </w:rPr>
              <w:t>§</w:t>
            </w:r>
          </w:p>
          <w:p>
            <w:pPr>
              <w:pStyle w:val="Normal"/>
              <w:jc w:val="center"/>
              <w:rPr>
                <w:b/>
                <w:color w:val="000000"/>
              </w:rPr>
            </w:pPr>
            <w:r>
              <w:rPr>
                <w:b/>
                <w:color w:val="000000"/>
              </w:rPr>
              <w:t>§</w:t>
            </w:r>
          </w:p>
          <w:p>
            <w:pPr>
              <w:pStyle w:val="Normal"/>
              <w:jc w:val="center"/>
              <w:rPr>
                <w:b/>
                <w:color w:val="000000"/>
              </w:rPr>
            </w:pPr>
            <w:r>
              <w:rPr>
                <w:b/>
                <w:color w:val="000000"/>
              </w:rPr>
              <w:t>§</w:t>
            </w:r>
          </w:p>
          <w:p>
            <w:pPr>
              <w:pStyle w:val="Normal"/>
              <w:jc w:val="center"/>
              <w:rPr>
                <w:b/>
                <w:color w:val="000000"/>
              </w:rPr>
            </w:pPr>
            <w:r>
              <w:rPr>
                <w:b/>
                <w:color w:val="000000"/>
              </w:rPr>
              <w:t>§</w:t>
            </w:r>
          </w:p>
          <w:p>
            <w:pPr>
              <w:pStyle w:val="Normal"/>
              <w:jc w:val="center"/>
              <w:rPr>
                <w:b/>
                <w:color w:val="000000"/>
              </w:rPr>
            </w:pPr>
            <w:r>
              <w:rPr>
                <w:b/>
                <w:color w:val="000000"/>
              </w:rPr>
            </w:r>
          </w:p>
          <w:p>
            <w:pPr>
              <w:pStyle w:val="Normal"/>
              <w:jc w:val="center"/>
              <w:rPr>
                <w:b/>
                <w:color w:val="000000"/>
              </w:rPr>
            </w:pPr>
            <w:r>
              <w:rPr>
                <w:b/>
                <w:color w:val="000000"/>
              </w:rPr>
            </w:r>
          </w:p>
        </w:tc>
        <w:tc>
          <w:tcPr>
            <w:tcW w:w="4518" w:type="dxa"/>
            <w:tcBorders/>
          </w:tcPr>
          <w:p>
            <w:pPr>
              <w:pStyle w:val="Normal"/>
              <w:spacing w:before="240" w:after="0"/>
              <w:rPr>
                <w:b/>
              </w:rPr>
            </w:pPr>
            <w:r>
              <w:rPr>
                <w:b/>
              </w:rPr>
              <w:t>PUBLIC UTILITY COMMISSION</w:t>
            </w:r>
          </w:p>
          <w:p>
            <w:pPr>
              <w:pStyle w:val="Normal"/>
              <w:rPr>
                <w:b/>
              </w:rPr>
            </w:pPr>
            <w:r>
              <w:rPr>
                <w:b/>
              </w:rPr>
              <w:t xml:space="preserve">                   </w:t>
            </w:r>
            <w:r>
              <w:rPr>
                <w:b/>
              </w:rPr>
              <w:t>OF TEXAS</w:t>
            </w:r>
          </w:p>
          <w:p>
            <w:pPr>
              <w:pStyle w:val="Normal"/>
              <w:rPr>
                <w:b/>
                <w:color w:val="000000"/>
              </w:rPr>
            </w:pPr>
            <w:r>
              <w:rPr>
                <w:b/>
                <w:color w:val="000000"/>
              </w:rPr>
            </w:r>
          </w:p>
          <w:p>
            <w:pPr>
              <w:pStyle w:val="Normal"/>
              <w:rPr>
                <w:b/>
                <w:color w:val="000000"/>
              </w:rPr>
            </w:pPr>
            <w:r>
              <w:rPr>
                <w:b/>
                <w:color w:val="000000"/>
              </w:rPr>
            </w:r>
          </w:p>
        </w:tc>
      </w:tr>
    </w:tbl>
    <w:p>
      <w:pPr>
        <w:pStyle w:val="BodyText"/>
        <w:spacing w:lineRule="auto" w:line="240"/>
        <w:ind w:hanging="0" w:end="0"/>
        <w:jc w:val="center"/>
        <w:rPr>
          <w:b/>
          <w:u w:val="single"/>
        </w:rPr>
      </w:pPr>
      <w:r>
        <w:rPr>
          <w:b/>
          <w:u w:val="single"/>
        </w:rPr>
        <w:t xml:space="preserve">RELIANT ENERGY HL&amp;P'S BRIEF ON </w:t>
      </w:r>
    </w:p>
    <w:p>
      <w:pPr>
        <w:pStyle w:val="BodyText"/>
        <w:spacing w:lineRule="auto" w:line="240"/>
        <w:ind w:hanging="0" w:end="0"/>
        <w:jc w:val="center"/>
        <w:rPr>
          <w:b/>
          <w:u w:val="single"/>
        </w:rPr>
      </w:pPr>
      <w:r>
        <w:rPr>
          <w:b/>
          <w:u w:val="single"/>
        </w:rPr>
        <w:t>THE ERCOT PROTOCOL ISSUES</w:t>
      </w:r>
    </w:p>
    <w:p>
      <w:pPr>
        <w:pStyle w:val="BodyText"/>
        <w:ind w:hanging="0" w:end="0"/>
        <w:rPr>
          <w:b/>
          <w:u w:val="single"/>
        </w:rPr>
      </w:pPr>
      <w:r>
        <w:rPr>
          <w:b/>
          <w:u w:val="single"/>
        </w:rPr>
      </w:r>
    </w:p>
    <w:sdt>
      <w:sdtPr>
        <w:docPartObj>
          <w:docPartGallery w:val="Table of Contents"/>
          <w:docPartUnique w:val="true"/>
        </w:docPartObj>
      </w:sdtPr>
      <w:sdtContent>
        <w:p>
          <w:pPr>
            <w:pStyle w:val="TOC1"/>
            <w:tabs>
              <w:tab w:val="clear" w:pos="720"/>
              <w:tab w:val="left" w:pos="480" w:leader="none"/>
              <w:tab w:val="right" w:pos="9350" w:leader="dot"/>
            </w:tabs>
            <w:rPr>
              <w:sz w:val="24"/>
              <w:lang w:val="en-CA"/>
            </w:rPr>
          </w:pPr>
          <w:r>
            <w:fldChar w:fldCharType="begin"/>
          </w:r>
          <w:r>
            <w:rPr>
              <w:sz w:val="24"/>
              <w:b w:val="false"/>
              <w:lang w:val="en-CA"/>
            </w:rPr>
            <w:instrText xml:space="preserve"> TOC \o "1-3" </w:instrText>
          </w:r>
          <w:r>
            <w:rPr>
              <w:sz w:val="24"/>
              <w:b w:val="false"/>
              <w:lang w:val="en-CA"/>
            </w:rPr>
            <w:fldChar w:fldCharType="separate"/>
          </w:r>
          <w:r>
            <w:rPr>
              <w:b w:val="false"/>
              <w:sz w:val="24"/>
              <w:lang w:val="en-CA"/>
            </w:rPr>
            <w:t>I.</w:t>
            <w:tab/>
            <w:t>INTRODUCTION</w:t>
            <w:tab/>
          </w:r>
          <w:hyperlink w:anchor="__RefHeading___Toc505133816">
            <w:r>
              <w:rPr>
                <w:rStyle w:val="IndexLink"/>
                <w:b w:val="false"/>
                <w:sz w:val="24"/>
                <w:lang w:val="en-CA"/>
              </w:rPr>
              <w:t>2</w:t>
            </w:r>
          </w:hyperlink>
        </w:p>
        <w:p>
          <w:pPr>
            <w:pStyle w:val="TOC1"/>
            <w:tabs>
              <w:tab w:val="clear" w:pos="720"/>
              <w:tab w:val="left" w:pos="480" w:leader="none"/>
              <w:tab w:val="right" w:pos="9350" w:leader="dot"/>
            </w:tabs>
            <w:rPr>
              <w:sz w:val="24"/>
              <w:lang w:val="en-CA"/>
            </w:rPr>
          </w:pPr>
          <w:r>
            <w:rPr>
              <w:sz w:val="24"/>
              <w:lang w:val="en-CA"/>
            </w:rPr>
            <w:t>II.</w:t>
            <w:tab/>
            <w:t>Public Utility Commission Issues</w:t>
            <w:tab/>
          </w:r>
          <w:hyperlink w:anchor="__RefHeading___Toc505133817">
            <w:r>
              <w:rPr>
                <w:rStyle w:val="IndexLink"/>
                <w:sz w:val="24"/>
                <w:lang w:val="en-CA"/>
              </w:rPr>
              <w:t>4</w:t>
            </w:r>
          </w:hyperlink>
        </w:p>
        <w:p>
          <w:pPr>
            <w:pStyle w:val="TOC1"/>
            <w:tabs>
              <w:tab w:val="clear" w:pos="720"/>
              <w:tab w:val="left" w:pos="480" w:leader="none"/>
              <w:tab w:val="right" w:pos="9350" w:leader="dot"/>
            </w:tabs>
            <w:rPr>
              <w:sz w:val="24"/>
              <w:lang w:val="en-CA"/>
            </w:rPr>
          </w:pPr>
          <w:r>
            <w:rPr>
              <w:sz w:val="24"/>
              <w:lang w:val="en-CA"/>
            </w:rPr>
            <w:t>III.</w:t>
            <w:tab/>
            <w:t>Intervenor Issues</w:t>
            <w:tab/>
          </w:r>
          <w:hyperlink w:anchor="__RefHeading___Toc505133818">
            <w:r>
              <w:rPr>
                <w:rStyle w:val="IndexLink"/>
                <w:sz w:val="24"/>
                <w:lang w:val="en-CA"/>
              </w:rPr>
              <w:t>12</w:t>
            </w:r>
          </w:hyperlink>
        </w:p>
        <w:p>
          <w:pPr>
            <w:pStyle w:val="TOC3"/>
            <w:tabs>
              <w:tab w:val="clear" w:pos="720"/>
              <w:tab w:val="right" w:pos="9350" w:leader="dot"/>
            </w:tabs>
            <w:rPr>
              <w:sz w:val="24"/>
              <w:lang w:val="en-CA"/>
            </w:rPr>
          </w:pPr>
          <w:r>
            <w:rPr>
              <w:sz w:val="24"/>
              <w:lang w:val="en-CA"/>
            </w:rPr>
            <w:t>AES Deepwater Issues</w:t>
            <w:tab/>
          </w:r>
          <w:hyperlink w:anchor="__RefHeading___Toc505133819">
            <w:r>
              <w:rPr>
                <w:rStyle w:val="IndexLink"/>
                <w:sz w:val="24"/>
                <w:lang w:val="en-CA"/>
              </w:rPr>
              <w:t>12</w:t>
            </w:r>
          </w:hyperlink>
        </w:p>
        <w:p>
          <w:pPr>
            <w:pStyle w:val="TOC3"/>
            <w:tabs>
              <w:tab w:val="clear" w:pos="720"/>
              <w:tab w:val="right" w:pos="9350" w:leader="dot"/>
            </w:tabs>
            <w:rPr>
              <w:sz w:val="24"/>
              <w:lang w:val="en-CA"/>
            </w:rPr>
          </w:pPr>
          <w:r>
            <w:rPr>
              <w:sz w:val="24"/>
              <w:lang w:val="en-CA"/>
            </w:rPr>
            <w:t>Calpine Corp Issues</w:t>
            <w:tab/>
          </w:r>
          <w:hyperlink w:anchor="__RefHeading___Toc505133820">
            <w:r>
              <w:rPr>
                <w:rStyle w:val="IndexLink"/>
                <w:sz w:val="24"/>
                <w:lang w:val="en-CA"/>
              </w:rPr>
              <w:t>12</w:t>
            </w:r>
          </w:hyperlink>
        </w:p>
        <w:p>
          <w:pPr>
            <w:pStyle w:val="TOC3"/>
            <w:tabs>
              <w:tab w:val="clear" w:pos="720"/>
              <w:tab w:val="right" w:pos="9350" w:leader="dot"/>
            </w:tabs>
            <w:rPr>
              <w:sz w:val="24"/>
              <w:lang w:val="en-CA"/>
            </w:rPr>
          </w:pPr>
          <w:r>
            <w:rPr>
              <w:sz w:val="24"/>
              <w:lang w:val="en-CA"/>
            </w:rPr>
            <w:t>City of Austin Issues</w:t>
            <w:tab/>
          </w:r>
          <w:hyperlink w:anchor="__RefHeading___Toc505133821">
            <w:r>
              <w:rPr>
                <w:rStyle w:val="IndexLink"/>
                <w:sz w:val="24"/>
                <w:lang w:val="en-CA"/>
              </w:rPr>
              <w:t>13</w:t>
            </w:r>
          </w:hyperlink>
        </w:p>
        <w:p>
          <w:pPr>
            <w:pStyle w:val="TOC3"/>
            <w:tabs>
              <w:tab w:val="clear" w:pos="720"/>
              <w:tab w:val="right" w:pos="9350" w:leader="dot"/>
            </w:tabs>
            <w:rPr>
              <w:sz w:val="24"/>
              <w:lang w:val="en-CA"/>
            </w:rPr>
          </w:pPr>
          <w:r>
            <w:rPr>
              <w:sz w:val="24"/>
              <w:lang w:val="en-CA"/>
            </w:rPr>
            <w:t>City of Denton Issues</w:t>
            <w:tab/>
          </w:r>
          <w:hyperlink w:anchor="__RefHeading___Toc505133822">
            <w:r>
              <w:rPr>
                <w:rStyle w:val="IndexLink"/>
                <w:sz w:val="24"/>
                <w:lang w:val="en-CA"/>
              </w:rPr>
              <w:t>15</w:t>
            </w:r>
          </w:hyperlink>
        </w:p>
        <w:p>
          <w:pPr>
            <w:pStyle w:val="TOC3"/>
            <w:tabs>
              <w:tab w:val="clear" w:pos="720"/>
              <w:tab w:val="right" w:pos="9350" w:leader="dot"/>
            </w:tabs>
            <w:rPr>
              <w:sz w:val="24"/>
              <w:lang w:val="en-CA"/>
            </w:rPr>
          </w:pPr>
          <w:r>
            <w:rPr>
              <w:sz w:val="24"/>
              <w:lang w:val="en-CA"/>
            </w:rPr>
            <w:t>City Public Service of San Antonio Issues</w:t>
            <w:tab/>
          </w:r>
          <w:hyperlink w:anchor="__RefHeading___Toc505133823">
            <w:r>
              <w:rPr>
                <w:rStyle w:val="IndexLink"/>
                <w:sz w:val="24"/>
                <w:lang w:val="en-CA"/>
              </w:rPr>
              <w:t>17</w:t>
            </w:r>
          </w:hyperlink>
        </w:p>
        <w:p>
          <w:pPr>
            <w:pStyle w:val="TOC3"/>
            <w:tabs>
              <w:tab w:val="clear" w:pos="720"/>
              <w:tab w:val="right" w:pos="9350" w:leader="dot"/>
            </w:tabs>
            <w:rPr>
              <w:sz w:val="24"/>
              <w:lang w:val="en-CA"/>
            </w:rPr>
          </w:pPr>
          <w:r>
            <w:rPr>
              <w:sz w:val="24"/>
              <w:lang w:val="en-CA"/>
            </w:rPr>
            <w:t>Consumers Group Issues</w:t>
            <w:tab/>
          </w:r>
          <w:hyperlink w:anchor="__RefHeading___Toc505133824">
            <w:r>
              <w:rPr>
                <w:rStyle w:val="IndexLink"/>
                <w:sz w:val="24"/>
                <w:lang w:val="en-CA"/>
              </w:rPr>
              <w:t>19</w:t>
            </w:r>
          </w:hyperlink>
        </w:p>
        <w:p>
          <w:pPr>
            <w:pStyle w:val="TOC3"/>
            <w:tabs>
              <w:tab w:val="clear" w:pos="720"/>
              <w:tab w:val="right" w:pos="9350" w:leader="dot"/>
            </w:tabs>
            <w:rPr>
              <w:sz w:val="24"/>
              <w:lang w:val="en-CA"/>
            </w:rPr>
          </w:pPr>
          <w:r>
            <w:rPr>
              <w:sz w:val="24"/>
              <w:lang w:val="en-CA"/>
            </w:rPr>
            <w:t>Dynegy Issues</w:t>
            <w:tab/>
          </w:r>
          <w:hyperlink w:anchor="__RefHeading___Toc505133825">
            <w:r>
              <w:rPr>
                <w:rStyle w:val="IndexLink"/>
                <w:sz w:val="24"/>
                <w:lang w:val="en-CA"/>
              </w:rPr>
              <w:t>20</w:t>
            </w:r>
          </w:hyperlink>
        </w:p>
        <w:p>
          <w:pPr>
            <w:pStyle w:val="TOC3"/>
            <w:tabs>
              <w:tab w:val="clear" w:pos="720"/>
              <w:tab w:val="right" w:pos="9350" w:leader="dot"/>
            </w:tabs>
            <w:rPr>
              <w:sz w:val="24"/>
              <w:lang w:val="en-CA"/>
            </w:rPr>
          </w:pPr>
          <w:r>
            <w:rPr>
              <w:sz w:val="24"/>
              <w:lang w:val="en-CA"/>
            </w:rPr>
            <w:t>Enron Issues</w:t>
            <w:tab/>
          </w:r>
          <w:hyperlink w:anchor="__RefHeading___Toc505133826">
            <w:r>
              <w:rPr>
                <w:rStyle w:val="IndexLink"/>
                <w:sz w:val="24"/>
                <w:lang w:val="en-CA"/>
              </w:rPr>
              <w:t>21</w:t>
            </w:r>
          </w:hyperlink>
        </w:p>
        <w:p>
          <w:pPr>
            <w:pStyle w:val="TOC3"/>
            <w:tabs>
              <w:tab w:val="clear" w:pos="720"/>
              <w:tab w:val="right" w:pos="9350" w:leader="dot"/>
            </w:tabs>
            <w:rPr>
              <w:sz w:val="24"/>
              <w:lang w:val="en-CA"/>
            </w:rPr>
          </w:pPr>
          <w:r>
            <w:rPr>
              <w:sz w:val="24"/>
              <w:lang w:val="en-CA"/>
            </w:rPr>
            <w:t>FPL Energy Issues</w:t>
            <w:tab/>
          </w:r>
          <w:hyperlink w:anchor="__RefHeading___Toc505133827">
            <w:r>
              <w:rPr>
                <w:rStyle w:val="IndexLink"/>
                <w:sz w:val="24"/>
                <w:lang w:val="en-CA"/>
              </w:rPr>
              <w:t>22</w:t>
            </w:r>
          </w:hyperlink>
        </w:p>
        <w:p>
          <w:pPr>
            <w:pStyle w:val="TOC3"/>
            <w:tabs>
              <w:tab w:val="clear" w:pos="720"/>
              <w:tab w:val="right" w:pos="9350" w:leader="dot"/>
            </w:tabs>
            <w:rPr>
              <w:sz w:val="24"/>
              <w:lang w:val="en-CA"/>
            </w:rPr>
          </w:pPr>
          <w:r>
            <w:rPr>
              <w:sz w:val="24"/>
              <w:lang w:val="en-CA"/>
            </w:rPr>
            <w:t>Independent Marketers Issues</w:t>
            <w:tab/>
          </w:r>
          <w:hyperlink w:anchor="__RefHeading___Toc505133828">
            <w:r>
              <w:rPr>
                <w:rStyle w:val="IndexLink"/>
                <w:sz w:val="24"/>
                <w:lang w:val="en-CA"/>
              </w:rPr>
              <w:t>23</w:t>
            </w:r>
          </w:hyperlink>
        </w:p>
        <w:p>
          <w:pPr>
            <w:pStyle w:val="TOC3"/>
            <w:tabs>
              <w:tab w:val="clear" w:pos="720"/>
              <w:tab w:val="right" w:pos="9350" w:leader="dot"/>
            </w:tabs>
            <w:rPr>
              <w:sz w:val="24"/>
              <w:lang w:val="en-CA"/>
            </w:rPr>
          </w:pPr>
          <w:r>
            <w:rPr>
              <w:sz w:val="24"/>
              <w:lang w:val="en-CA"/>
            </w:rPr>
            <w:t>Nucor Steel Issues</w:t>
            <w:tab/>
          </w:r>
          <w:hyperlink w:anchor="__RefHeading___Toc505133829">
            <w:r>
              <w:rPr>
                <w:rStyle w:val="IndexLink"/>
                <w:sz w:val="24"/>
                <w:lang w:val="en-CA"/>
              </w:rPr>
              <w:t>34</w:t>
            </w:r>
          </w:hyperlink>
        </w:p>
        <w:p>
          <w:pPr>
            <w:pStyle w:val="TOC3"/>
            <w:tabs>
              <w:tab w:val="clear" w:pos="720"/>
              <w:tab w:val="right" w:pos="9350" w:leader="dot"/>
            </w:tabs>
            <w:rPr>
              <w:sz w:val="24"/>
              <w:lang w:val="en-CA"/>
            </w:rPr>
          </w:pPr>
          <w:r>
            <w:rPr>
              <w:sz w:val="24"/>
              <w:lang w:val="en-CA"/>
            </w:rPr>
            <w:t>Reliant Energy Issue</w:t>
            <w:tab/>
          </w:r>
          <w:hyperlink w:anchor="__RefHeading___Toc505133830">
            <w:r>
              <w:rPr>
                <w:rStyle w:val="IndexLink"/>
                <w:sz w:val="24"/>
                <w:lang w:val="en-CA"/>
              </w:rPr>
              <w:t>38</w:t>
            </w:r>
          </w:hyperlink>
        </w:p>
        <w:p>
          <w:pPr>
            <w:pStyle w:val="TOC3"/>
            <w:tabs>
              <w:tab w:val="clear" w:pos="720"/>
              <w:tab w:val="right" w:pos="9350" w:leader="dot"/>
            </w:tabs>
            <w:rPr>
              <w:sz w:val="24"/>
              <w:lang w:val="en-CA"/>
            </w:rPr>
          </w:pPr>
          <w:r>
            <w:rPr>
              <w:sz w:val="24"/>
              <w:lang w:val="en-CA"/>
            </w:rPr>
            <w:t>Southern Company Energy Marketing Issues</w:t>
            <w:tab/>
          </w:r>
          <w:hyperlink w:anchor="__RefHeading___Toc505133831">
            <w:r>
              <w:rPr>
                <w:rStyle w:val="IndexLink"/>
                <w:sz w:val="24"/>
                <w:lang w:val="en-CA"/>
              </w:rPr>
              <w:t>41</w:t>
            </w:r>
          </w:hyperlink>
        </w:p>
        <w:p>
          <w:pPr>
            <w:pStyle w:val="TOC3"/>
            <w:tabs>
              <w:tab w:val="clear" w:pos="720"/>
              <w:tab w:val="right" w:pos="9350" w:leader="dot"/>
            </w:tabs>
            <w:rPr>
              <w:sz w:val="24"/>
              <w:lang w:val="en-CA"/>
            </w:rPr>
          </w:pPr>
          <w:r>
            <w:rPr>
              <w:sz w:val="24"/>
              <w:lang w:val="en-CA"/>
            </w:rPr>
            <w:t>South Texas Electric Cooperative Issues</w:t>
            <w:tab/>
          </w:r>
          <w:hyperlink w:anchor="__RefHeading___Toc505133832">
            <w:r>
              <w:rPr>
                <w:rStyle w:val="IndexLink"/>
                <w:sz w:val="24"/>
                <w:lang w:val="en-CA"/>
              </w:rPr>
              <w:t>43</w:t>
            </w:r>
          </w:hyperlink>
        </w:p>
        <w:p>
          <w:pPr>
            <w:pStyle w:val="TOC3"/>
            <w:tabs>
              <w:tab w:val="clear" w:pos="720"/>
              <w:tab w:val="right" w:pos="9350" w:leader="dot"/>
            </w:tabs>
            <w:rPr>
              <w:sz w:val="24"/>
              <w:lang w:val="en-CA"/>
            </w:rPr>
          </w:pPr>
          <w:r>
            <w:rPr>
              <w:sz w:val="24"/>
              <w:lang w:val="en-CA"/>
            </w:rPr>
            <w:t>Tex-La Issues</w:t>
            <w:tab/>
          </w:r>
          <w:hyperlink w:anchor="__RefHeading___Toc505133833">
            <w:r>
              <w:rPr>
                <w:rStyle w:val="IndexLink"/>
                <w:sz w:val="24"/>
                <w:lang w:val="en-CA"/>
              </w:rPr>
              <w:t>44</w:t>
            </w:r>
          </w:hyperlink>
        </w:p>
        <w:p>
          <w:pPr>
            <w:pStyle w:val="TOC3"/>
            <w:tabs>
              <w:tab w:val="clear" w:pos="720"/>
              <w:tab w:val="right" w:pos="9350" w:leader="dot"/>
            </w:tabs>
            <w:rPr>
              <w:sz w:val="24"/>
              <w:lang w:val="en-CA"/>
            </w:rPr>
          </w:pPr>
          <w:r>
            <w:rPr>
              <w:sz w:val="24"/>
              <w:lang w:val="en-CA"/>
            </w:rPr>
            <w:t>Texas Apartment Association Issues</w:t>
            <w:tab/>
          </w:r>
          <w:hyperlink w:anchor="__RefHeading___Toc505133834">
            <w:r>
              <w:rPr>
                <w:rStyle w:val="IndexLink"/>
                <w:sz w:val="24"/>
                <w:lang w:val="en-CA"/>
              </w:rPr>
              <w:t>46</w:t>
            </w:r>
          </w:hyperlink>
        </w:p>
        <w:p>
          <w:pPr>
            <w:pStyle w:val="TOC3"/>
            <w:tabs>
              <w:tab w:val="clear" w:pos="720"/>
              <w:tab w:val="right" w:pos="9350" w:leader="dot"/>
            </w:tabs>
            <w:rPr>
              <w:sz w:val="24"/>
              <w:lang w:val="en-CA"/>
            </w:rPr>
          </w:pPr>
          <w:r>
            <w:rPr>
              <w:sz w:val="24"/>
              <w:lang w:val="en-CA"/>
            </w:rPr>
            <w:t>TEC/Brazos Issue</w:t>
            <w:tab/>
          </w:r>
          <w:hyperlink w:anchor="__RefHeading___Toc505133835">
            <w:r>
              <w:rPr>
                <w:rStyle w:val="IndexLink"/>
                <w:sz w:val="24"/>
                <w:lang w:val="en-CA"/>
              </w:rPr>
              <w:t>46</w:t>
            </w:r>
          </w:hyperlink>
        </w:p>
        <w:p>
          <w:pPr>
            <w:pStyle w:val="TOC3"/>
            <w:tabs>
              <w:tab w:val="clear" w:pos="720"/>
              <w:tab w:val="right" w:pos="9350" w:leader="dot"/>
            </w:tabs>
            <w:rPr>
              <w:sz w:val="24"/>
              <w:lang w:val="en-CA"/>
            </w:rPr>
          </w:pPr>
          <w:r>
            <w:rPr>
              <w:sz w:val="24"/>
              <w:lang w:val="en-CA"/>
            </w:rPr>
            <w:t>Texas Industrial Energy Consumers Issues</w:t>
            <w:tab/>
          </w:r>
          <w:hyperlink w:anchor="__RefHeading___Toc505133836">
            <w:r>
              <w:rPr>
                <w:rStyle w:val="IndexLink"/>
                <w:sz w:val="24"/>
                <w:lang w:val="en-CA"/>
              </w:rPr>
              <w:t>46</w:t>
            </w:r>
          </w:hyperlink>
        </w:p>
        <w:p>
          <w:pPr>
            <w:pStyle w:val="TOC3"/>
            <w:tabs>
              <w:tab w:val="clear" w:pos="720"/>
              <w:tab w:val="right" w:pos="9350" w:leader="dot"/>
            </w:tabs>
            <w:rPr>
              <w:sz w:val="24"/>
              <w:lang w:val="en-CA"/>
            </w:rPr>
          </w:pPr>
          <w:r>
            <w:rPr>
              <w:sz w:val="24"/>
              <w:lang w:val="en-CA"/>
            </w:rPr>
            <w:t>Texas Industries, Inc. Issues</w:t>
            <w:tab/>
          </w:r>
          <w:hyperlink w:anchor="__RefHeading___Toc505133837">
            <w:r>
              <w:rPr>
                <w:rStyle w:val="IndexLink"/>
                <w:sz w:val="24"/>
                <w:lang w:val="en-CA"/>
              </w:rPr>
              <w:t>48</w:t>
            </w:r>
          </w:hyperlink>
        </w:p>
        <w:p>
          <w:pPr>
            <w:pStyle w:val="TOC3"/>
            <w:tabs>
              <w:tab w:val="clear" w:pos="720"/>
              <w:tab w:val="right" w:pos="9350" w:leader="dot"/>
            </w:tabs>
            <w:rPr>
              <w:sz w:val="24"/>
              <w:lang w:val="en-CA"/>
            </w:rPr>
          </w:pPr>
          <w:r>
            <w:rPr>
              <w:sz w:val="24"/>
              <w:lang w:val="en-CA"/>
            </w:rPr>
            <w:t>Texas-New Mexico Power Company Issues</w:t>
            <w:tab/>
          </w:r>
          <w:hyperlink w:anchor="__RefHeading___Toc505133838">
            <w:r>
              <w:rPr>
                <w:rStyle w:val="IndexLink"/>
                <w:sz w:val="24"/>
                <w:lang w:val="en-CA"/>
              </w:rPr>
              <w:t>49</w:t>
            </w:r>
          </w:hyperlink>
        </w:p>
        <w:p>
          <w:pPr>
            <w:pStyle w:val="TOC3"/>
            <w:tabs>
              <w:tab w:val="clear" w:pos="720"/>
              <w:tab w:val="right" w:pos="9350" w:leader="dot"/>
            </w:tabs>
            <w:rPr>
              <w:sz w:val="24"/>
              <w:lang w:val="en-CA"/>
            </w:rPr>
          </w:pPr>
          <w:r>
            <w:rPr>
              <w:sz w:val="24"/>
              <w:lang w:val="en-CA"/>
            </w:rPr>
            <w:t>Texas Renewable Power Coalition Issue</w:t>
            <w:tab/>
          </w:r>
          <w:hyperlink w:anchor="__RefHeading___Toc505133839">
            <w:r>
              <w:rPr>
                <w:rStyle w:val="IndexLink"/>
                <w:sz w:val="24"/>
                <w:lang w:val="en-CA"/>
              </w:rPr>
              <w:t>51</w:t>
            </w:r>
          </w:hyperlink>
        </w:p>
        <w:p>
          <w:pPr>
            <w:pStyle w:val="TOC3"/>
            <w:tabs>
              <w:tab w:val="clear" w:pos="720"/>
              <w:tab w:val="right" w:pos="9350" w:leader="dot"/>
            </w:tabs>
            <w:rPr>
              <w:sz w:val="24"/>
              <w:lang w:val="en-CA"/>
            </w:rPr>
          </w:pPr>
          <w:r>
            <w:rPr>
              <w:sz w:val="24"/>
              <w:lang w:val="en-CA"/>
            </w:rPr>
            <w:t>Lower Colorado River Authority Issue</w:t>
            <w:tab/>
          </w:r>
          <w:hyperlink w:anchor="__RefHeading___Toc505133840">
            <w:r>
              <w:rPr>
                <w:rStyle w:val="IndexLink"/>
                <w:sz w:val="24"/>
                <w:lang w:val="en-CA"/>
              </w:rPr>
              <w:t>52</w:t>
            </w:r>
          </w:hyperlink>
        </w:p>
        <w:p>
          <w:pPr>
            <w:pStyle w:val="TOC1"/>
            <w:tabs>
              <w:tab w:val="clear" w:pos="720"/>
              <w:tab w:val="left" w:pos="480" w:leader="none"/>
              <w:tab w:val="right" w:pos="9350" w:leader="dot"/>
            </w:tabs>
            <w:rPr>
              <w:sz w:val="24"/>
              <w:lang w:val="en-CA"/>
            </w:rPr>
          </w:pPr>
          <w:r>
            <w:rPr>
              <w:sz w:val="24"/>
              <w:lang w:val="en-CA"/>
            </w:rPr>
            <w:t>IV.</w:t>
            <w:tab/>
            <w:t>CONCLUSION</w:t>
            <w:tab/>
          </w:r>
          <w:hyperlink w:anchor="__RefHeading___Toc505133841">
            <w:r>
              <w:rPr>
                <w:rStyle w:val="IndexLink"/>
                <w:sz w:val="24"/>
                <w:lang w:val="en-CA"/>
              </w:rPr>
              <w:t>52</w:t>
            </w:r>
          </w:hyperlink>
          <w:r>
            <w:rPr>
              <w:rStyle w:val="IndexLink"/>
              <w:sz w:val="24"/>
              <w:lang w:val="en-CA"/>
            </w:rPr>
            <w:fldChar w:fldCharType="end"/>
          </w:r>
        </w:p>
      </w:sdtContent>
    </w:sdt>
    <w:p>
      <w:pPr>
        <w:sectPr>
          <w:headerReference w:type="default" r:id="rId2"/>
          <w:footerReference w:type="default" r:id="rId3"/>
          <w:type w:val="nextPage"/>
          <w:pgSz w:w="12240" w:h="15840"/>
          <w:pgMar w:left="1440" w:right="1440" w:gutter="0" w:header="720" w:top="1440" w:footer="720" w:bottom="1260"/>
          <w:pgNumType w:fmt="decimal"/>
          <w:formProt w:val="false"/>
          <w:textDirection w:val="lrTb"/>
          <w:docGrid w:type="default" w:linePitch="360" w:charSpace="0"/>
        </w:sectPr>
        <w:pStyle w:val="BodyText"/>
        <w:numPr>
          <w:ilvl w:val="0"/>
          <w:numId w:val="0"/>
        </w:numPr>
        <w:ind w:firstLine="1440" w:start="0"/>
        <w:rPr>
          <w:b/>
          <w:sz w:val="24"/>
          <w:lang w:val="en-CA"/>
        </w:rPr>
      </w:pPr>
      <w:r>
        <w:rPr>
          <w:b/>
          <w:sz w:val="24"/>
          <w:lang w:val="en-CA"/>
        </w:rPr>
      </w:r>
    </w:p>
    <w:p>
      <w:pPr>
        <w:pStyle w:val="BodyText"/>
        <w:ind w:hanging="0" w:end="0"/>
        <w:jc w:val="center"/>
        <w:rPr>
          <w:b/>
        </w:rPr>
      </w:pPr>
      <w:r>
        <w:rPr>
          <w:b/>
        </w:rPr>
        <w:t>PUC DOCKET NO. 23220</w:t>
      </w:r>
    </w:p>
    <w:p>
      <w:pPr>
        <w:pStyle w:val="Normal"/>
        <w:jc w:val="center"/>
        <w:rPr>
          <w:b/>
          <w:color w:val="000000"/>
        </w:rPr>
      </w:pPr>
      <w:r>
        <w:rPr>
          <w:b/>
          <w:color w:val="000000"/>
        </w:rPr>
      </w:r>
    </w:p>
    <w:tbl>
      <w:tblPr>
        <w:tblW w:w="9576" w:type="dxa"/>
        <w:jc w:val="start"/>
        <w:tblInd w:w="0" w:type="dxa"/>
        <w:tblLayout w:type="fixed"/>
        <w:tblCellMar>
          <w:top w:w="0" w:type="dxa"/>
          <w:start w:w="108" w:type="dxa"/>
          <w:bottom w:w="0" w:type="dxa"/>
          <w:end w:w="108" w:type="dxa"/>
        </w:tblCellMar>
      </w:tblPr>
      <w:tblGrid>
        <w:gridCol w:w="4428"/>
        <w:gridCol w:w="630"/>
        <w:gridCol w:w="4518"/>
      </w:tblGrid>
      <w:tr>
        <w:trPr/>
        <w:tc>
          <w:tcPr>
            <w:tcW w:w="4428" w:type="dxa"/>
            <w:tcBorders/>
          </w:tcPr>
          <w:p>
            <w:pPr>
              <w:pStyle w:val="Normal"/>
              <w:rPr>
                <w:b/>
                <w:color w:val="000000"/>
              </w:rPr>
            </w:pPr>
            <w:r>
              <w:rPr>
                <w:b/>
                <w:color w:val="000000"/>
              </w:rPr>
              <w:t>PETITION OF THE ELECTRIC RELIABILITY COUNCIL OF TEXAS FOR APPROVAL OF THE ERCOT PROTOCOLS</w:t>
            </w:r>
          </w:p>
        </w:tc>
        <w:tc>
          <w:tcPr>
            <w:tcW w:w="630" w:type="dxa"/>
            <w:tcBorders/>
          </w:tcPr>
          <w:p>
            <w:pPr>
              <w:pStyle w:val="Normal"/>
              <w:jc w:val="center"/>
              <w:rPr>
                <w:b/>
                <w:color w:val="000000"/>
              </w:rPr>
            </w:pPr>
            <w:r>
              <w:rPr>
                <w:b/>
                <w:color w:val="000000"/>
              </w:rPr>
              <w:t>§</w:t>
            </w:r>
          </w:p>
          <w:p>
            <w:pPr>
              <w:pStyle w:val="Normal"/>
              <w:jc w:val="center"/>
              <w:rPr>
                <w:b/>
                <w:color w:val="000000"/>
              </w:rPr>
            </w:pPr>
            <w:r>
              <w:rPr>
                <w:b/>
                <w:color w:val="000000"/>
              </w:rPr>
              <w:t>§</w:t>
            </w:r>
          </w:p>
          <w:p>
            <w:pPr>
              <w:pStyle w:val="Normal"/>
              <w:jc w:val="center"/>
              <w:rPr>
                <w:b/>
                <w:color w:val="000000"/>
              </w:rPr>
            </w:pPr>
            <w:r>
              <w:rPr>
                <w:b/>
                <w:color w:val="000000"/>
              </w:rPr>
              <w:t>§</w:t>
            </w:r>
          </w:p>
          <w:p>
            <w:pPr>
              <w:pStyle w:val="Normal"/>
              <w:jc w:val="center"/>
              <w:rPr>
                <w:b/>
                <w:color w:val="000000"/>
              </w:rPr>
            </w:pPr>
            <w:r>
              <w:rPr>
                <w:b/>
                <w:color w:val="000000"/>
              </w:rPr>
              <w:t>§</w:t>
            </w:r>
          </w:p>
          <w:p>
            <w:pPr>
              <w:pStyle w:val="Normal"/>
              <w:jc w:val="center"/>
              <w:rPr>
                <w:b/>
                <w:color w:val="000000"/>
              </w:rPr>
            </w:pPr>
            <w:r>
              <w:rPr>
                <w:b/>
                <w:color w:val="000000"/>
              </w:rPr>
              <w:t>§</w:t>
            </w:r>
          </w:p>
          <w:p>
            <w:pPr>
              <w:pStyle w:val="Normal"/>
              <w:jc w:val="center"/>
              <w:rPr>
                <w:b/>
                <w:color w:val="000000"/>
              </w:rPr>
            </w:pPr>
            <w:r>
              <w:rPr>
                <w:b/>
                <w:color w:val="000000"/>
              </w:rPr>
            </w:r>
          </w:p>
          <w:p>
            <w:pPr>
              <w:pStyle w:val="Normal"/>
              <w:jc w:val="center"/>
              <w:rPr>
                <w:b/>
                <w:color w:val="000000"/>
              </w:rPr>
            </w:pPr>
            <w:r>
              <w:rPr>
                <w:b/>
                <w:color w:val="000000"/>
              </w:rPr>
            </w:r>
          </w:p>
        </w:tc>
        <w:tc>
          <w:tcPr>
            <w:tcW w:w="4518" w:type="dxa"/>
            <w:tcBorders/>
          </w:tcPr>
          <w:p>
            <w:pPr>
              <w:pStyle w:val="Normal"/>
              <w:spacing w:before="240" w:after="0"/>
              <w:rPr>
                <w:b/>
              </w:rPr>
            </w:pPr>
            <w:r>
              <w:rPr>
                <w:b/>
              </w:rPr>
              <w:t>PUBLIC UTILITY COMMISSION</w:t>
            </w:r>
          </w:p>
          <w:p>
            <w:pPr>
              <w:pStyle w:val="Normal"/>
              <w:rPr>
                <w:b/>
              </w:rPr>
            </w:pPr>
            <w:r>
              <w:rPr>
                <w:b/>
              </w:rPr>
              <w:t xml:space="preserve">                   </w:t>
            </w:r>
            <w:r>
              <w:rPr>
                <w:b/>
              </w:rPr>
              <w:t>OF TEXAS</w:t>
            </w:r>
          </w:p>
          <w:p>
            <w:pPr>
              <w:pStyle w:val="Normal"/>
              <w:rPr>
                <w:b/>
                <w:color w:val="000000"/>
              </w:rPr>
            </w:pPr>
            <w:r>
              <w:rPr>
                <w:b/>
                <w:color w:val="000000"/>
              </w:rPr>
            </w:r>
          </w:p>
          <w:p>
            <w:pPr>
              <w:pStyle w:val="Normal"/>
              <w:rPr>
                <w:b/>
                <w:color w:val="000000"/>
              </w:rPr>
            </w:pPr>
            <w:r>
              <w:rPr>
                <w:b/>
                <w:color w:val="000000"/>
              </w:rPr>
            </w:r>
          </w:p>
        </w:tc>
      </w:tr>
    </w:tbl>
    <w:p>
      <w:pPr>
        <w:pStyle w:val="BodyText"/>
        <w:spacing w:lineRule="auto" w:line="240"/>
        <w:ind w:hanging="0" w:end="0"/>
        <w:jc w:val="center"/>
        <w:rPr>
          <w:b/>
          <w:u w:val="single"/>
        </w:rPr>
      </w:pPr>
      <w:r>
        <w:rPr>
          <w:b/>
          <w:u w:val="single"/>
        </w:rPr>
        <w:t xml:space="preserve">RELIANT ENERGY HL&amp;P'S BRIEF ON </w:t>
      </w:r>
    </w:p>
    <w:p>
      <w:pPr>
        <w:pStyle w:val="BodyText"/>
        <w:spacing w:lineRule="auto" w:line="240"/>
        <w:ind w:hanging="0" w:end="0"/>
        <w:jc w:val="center"/>
        <w:rPr>
          <w:b/>
          <w:u w:val="single"/>
        </w:rPr>
      </w:pPr>
      <w:r>
        <w:rPr>
          <w:b/>
          <w:u w:val="single"/>
        </w:rPr>
        <w:t>THE ERCOT PROTOCOL ISSUES</w:t>
      </w:r>
    </w:p>
    <w:p>
      <w:pPr>
        <w:pStyle w:val="BodyText"/>
        <w:spacing w:lineRule="auto" w:line="240"/>
        <w:ind w:hanging="0" w:end="0"/>
        <w:jc w:val="center"/>
        <w:rPr>
          <w:b/>
          <w:u w:val="single"/>
        </w:rPr>
      </w:pPr>
      <w:r>
        <w:rPr>
          <w:b/>
          <w:u w:val="single"/>
        </w:rPr>
      </w:r>
    </w:p>
    <w:p>
      <w:pPr>
        <w:pStyle w:val="Heading1"/>
        <w:ind w:hanging="0" w:start="0"/>
        <w:rPr/>
      </w:pPr>
      <w:bookmarkStart w:id="0" w:name="__RefHeading___Toc505133816"/>
      <w:bookmarkEnd w:id="0"/>
      <w:r>
        <w:rPr/>
        <w:t>INTRODUCTION</w:t>
      </w:r>
    </w:p>
    <w:p>
      <w:pPr>
        <w:pStyle w:val="BodyText"/>
        <w:rPr/>
      </w:pPr>
      <w:r>
        <w:rPr/>
        <w:t xml:space="preserve">In this Brief, Reliant Energy HL&amp;P (“Reliant Energy” or “the Company”) responds to the issues raised by the Public Utility Commission’s (“Commission” or “PUC”) and Intervenors regarding the Protocols as amended by the January 5th Supplemental Filing (together the original and supplemental Protocol filings are referred to as the “Protocols”).  The issues to which Reliant Energy responds are those included in (1) ERCOT’s Decision Point List filed with the Commission on January 22, 2001 and (2) the Commission’s Order No. 6.  </w:t>
      </w:r>
    </w:p>
    <w:p>
      <w:pPr>
        <w:pStyle w:val="BodyText"/>
        <w:rPr/>
      </w:pPr>
      <w:r>
        <w:rPr/>
        <w:t xml:space="preserve">The issues fall into four categories.  First there are those issues which raise matters already discussed and debated in the course of drafting the Protocols.  The process of active discussions, workshops and negotiation by members of all market participant groups (“Stakeholders”) led to a viable, well reasoned and integrated set of Protocols.  Many scenarios and methodologies were discussed and analyzed with ultimately one method being selected.  The Commission should not revisit those issues.   </w:t>
      </w:r>
    </w:p>
    <w:p>
      <w:pPr>
        <w:pStyle w:val="BodyText"/>
        <w:rPr/>
      </w:pPr>
      <w:r>
        <w:rPr/>
        <w:t>The second group of issues are those that are not Protocol related.  They are instead governed by rule or regulation.  Thus, it is improper to consider them in this proceeding to approve the Protocols.</w:t>
      </w:r>
    </w:p>
    <w:p>
      <w:pPr>
        <w:pStyle w:val="BodyText"/>
        <w:rPr/>
      </w:pPr>
      <w:r>
        <w:rPr/>
        <w:t xml:space="preserve">Third are the issues that appear to arise from a misinterpretation of the Protocol language.  In this Brief, Reliant Energy tries to clarify the meaning of the Protocols.  </w:t>
      </w:r>
    </w:p>
    <w:p>
      <w:pPr>
        <w:pStyle w:val="BodyText"/>
        <w:rPr/>
      </w:pPr>
      <w:r>
        <w:rPr/>
        <w:t>The fourth group into which many of the issues fall are those raised while the Protocols were being revised through the Protocol Implementation Plan (“PIP”)</w:t>
      </w:r>
      <w:r>
        <w:rPr>
          <w:rStyle w:val="FootnoteCharacters"/>
          <w:rStyle w:val="FootnoteReference"/>
        </w:rPr>
        <w:footnoteReference w:id="2"/>
      </w:r>
      <w:r>
        <w:rPr/>
        <w:t>.  The PIP changes (filed with the Commission on January 5, 2001) resolve many of those issues.  The Commission should ensure that ERCOT implements those PIP issues identified by the market participants as being required before the opening of full competition.  In particular, ERCOT should ensure that items identified as requiring completion in Phase I or Phase II be fully incorporated before the market opens.  These items include, but are not limited to, Balancing Up Load (“BUL”) and responsibility transfers.  Market participants need assurance that BUL will be in place so that they may begin incorporating the concept into their market products to assure that load participates in the competitive market.  Similarly, responsibility transfers are required to allow market participants that acquire entitlements through the capacity auction to maximize the entitlements’ value at January 1, 2002.  Without the responsibility transfer, the entitlement holder would not have control over the slice of system capacity awarded through the entitlement and will be unable to fully participate in the ancillary service markets.</w:t>
      </w:r>
    </w:p>
    <w:p>
      <w:pPr>
        <w:pStyle w:val="BodyText"/>
        <w:rPr/>
      </w:pPr>
      <w:r>
        <w:rPr/>
        <w:t xml:space="preserve">Reliant Energy supports the Protocols as filed.  The care and attention paid to the concerns of a broad spectrum of parties with diverse interests during the drafting of the Protocols is evidenced by the relatively few complex issues raised by intervenors in this proceeding.  Reliant Energy urges the Commission to give great consideration to the fact that the Protocols were drafted as a unified whole by a broad and diverse group of market participants.  Any modifications to the Protocols at this late date should be made only after it is determined that the market will not function without the change.  Even then, careful thought must be given to the effect each change will have on the remainder of the Protocols.  This is best accomplished through the change process included in the Protocols.  The Protocols, with the minor modifications discussed below, should be adopted by the Commission.  </w:t>
      </w:r>
    </w:p>
    <w:p>
      <w:pPr>
        <w:pStyle w:val="Heading1"/>
        <w:ind w:hanging="0" w:start="0"/>
        <w:rPr/>
      </w:pPr>
      <w:bookmarkStart w:id="1" w:name="__RefHeading___Toc505133817"/>
      <w:bookmarkEnd w:id="1"/>
      <w:r>
        <w:rPr/>
        <w:t>Public Utility Commission Issues</w:t>
      </w:r>
    </w:p>
    <w:p>
      <w:pPr>
        <w:pStyle w:val="BlockText"/>
        <w:numPr>
          <w:ilvl w:val="0"/>
          <w:numId w:val="3"/>
        </w:numPr>
        <w:rPr/>
      </w:pPr>
      <w:r>
        <w:rPr/>
        <w:t>Are there any major deficiencies in the version of the Protocols to be implemented on June 1, 2001 that will result in a materially flawed market design?  If so, what measures should be put into place by June 1, 2001 including, if necessary, interim measures, to avoid any major problems upon the implementation of the Protocols?</w:t>
      </w:r>
    </w:p>
    <w:p>
      <w:pPr>
        <w:pStyle w:val="BodyText"/>
        <w:rPr/>
      </w:pPr>
      <w:r>
        <w:rPr/>
        <w:t>There are no major deficiencies in the Protocols that will result in a materially flawed market design.  If any problems are detected, solutions should be developed through the Protocol change process.  That will assure the opportunity for full Stakeholder participation and that changes are compatible with the market design and other elements of the Protocols.</w:t>
      </w:r>
    </w:p>
    <w:p>
      <w:pPr>
        <w:pStyle w:val="BlockText"/>
        <w:numPr>
          <w:ilvl w:val="0"/>
          <w:numId w:val="3"/>
        </w:numPr>
        <w:tabs>
          <w:tab w:val="clear" w:pos="720"/>
        </w:tabs>
        <w:rPr/>
      </w:pPr>
      <w:r>
        <w:rPr/>
        <w:t>Is there a potential for gaming in the resolution of Local Congestion and in the resolution of interzonal congestion prior to conversion to a direct assignment of cost methodology?  If so, what measures should be taken to prevent gaming, including any interim measures?</w:t>
      </w:r>
    </w:p>
    <w:p>
      <w:pPr>
        <w:pStyle w:val="BodyText"/>
        <w:rPr/>
      </w:pPr>
      <w:r>
        <w:rPr/>
        <w:t>The Protocols were drafted with a common belief that market solutions were more effective than command and control procedures and that local congestion would not be material in the ERCOT region.  If market solutions</w:t>
      </w:r>
      <w:r>
        <w:rPr>
          <w:rStyle w:val="FootnoteCharacters"/>
          <w:rStyle w:val="FootnoteReference"/>
        </w:rPr>
        <w:footnoteReference w:id="3"/>
      </w:r>
      <w:r>
        <w:rPr/>
        <w:t xml:space="preserve"> exist, gaming should not be an issue.  However, the current method of determining compensation when local congestion exists and no market solution is available can lead to gaming.  If there is no market solution and the Market Clearing Price for Energy (“MCPE”) is negative in the zone of the congestion, then the sole available resource to be asked to decrement could create additional compensation for itself by always overscheduling to create the local congestion.  Reliant Energy recommends that the compensation formula be adjusted by the Commission in this proceeding so that resources would remain revenue neutral in such a circumstance, </w:t>
      </w:r>
      <w:r>
        <w:rPr>
          <w:i/>
        </w:rPr>
        <w:t>i.e.</w:t>
      </w:r>
      <w:r>
        <w:rPr/>
        <w:t>, any costs or revenue to QSEs in the imbalance market will be offset by the OOME payment.  To accomplish, this Reliant Energy recommends that the equation in the calculation for OOME Down payments be modified so that the MCPE component is multiplied by the amount of the dispatch instruction regardless of whether the MCPE is positive or negative for decrement instructions.  Currently, if the MCPE is positive then the QSE is reimbursed for the amount of the imbalance at MCPE.  However, if the MCPE is negative, the QSE receives nothing.  The QSE’s output is decremented and it pays the difference in the schedule minus the actual delivery times a negative MCPE which yields a negative payment or a receipt of dollars by the QSE.  Reliant Energy’s suggested revision amends the equation in Section 6.8.2.2(4) so that the OOME payment always offsets the imbalance payment for instructed decrements.  This will keep the generator revenue neutral and will not provide any artificial incentive to game the system when the MCPE is negative and ERCOT instructs decrements.</w:t>
      </w:r>
    </w:p>
    <w:p>
      <w:pPr>
        <w:pStyle w:val="BlockText"/>
        <w:numPr>
          <w:ilvl w:val="0"/>
          <w:numId w:val="3"/>
        </w:numPr>
        <w:rPr/>
      </w:pPr>
      <w:r>
        <w:rPr/>
        <w:t>What self-implementing mechanisms should be added to the Protocols to avoid extreme price spikes?</w:t>
      </w:r>
    </w:p>
    <w:p>
      <w:pPr>
        <w:pStyle w:val="BodyText"/>
        <w:rPr/>
      </w:pPr>
      <w:r>
        <w:rPr/>
        <w:t>The most effective means of limiting extreme prices spikes in market clearing prices for Balancing Energy is to encourage loads (demand) to compete with generation (supply).  Market Clearing Prices (“MCP”) are established at the point where the supply curve meets the demand curve.  If loads have a price at which they are unwilling to buy additional energy, they should be allowed to bid that price into the ancillary services market and to have ERCOT deploy the interruptible portion of the load when the MCP reaches that level.  When deployed, the interruption of the load bid will have an immediate impact on the MCP since the overall demand will be reduced, thus creating more supply.  Of course, loads may play a passive role in the market and reduce their exposure to market risk by reducing consumption when prices become too high.  However, the key to the Protocols is to also encourage loads to actively participate in the market instead of behaving passively.</w:t>
      </w:r>
    </w:p>
    <w:p>
      <w:pPr>
        <w:pStyle w:val="BodyText"/>
        <w:rPr/>
      </w:pPr>
      <w:r>
        <w:rPr/>
        <w:t>Unlike other reliability areas, loads in ERCOT have a long tradition of active participation in the market through various interruptible rate tariffs.  Currently, up to 5000 MW of interruptible loads are contracted to participate in the market.  The Stakeholders expect even greater participation in the new market.  The Stakeholders developed two ways for load to participate in the ancillary services market.  First, customers may participate as loads acting as a resource by providing Replacement, Non-Spinning and Responsive Reserve services and thus bidding blocks of interruptible load into the market.  Second, customers who do not choose to install telemetry and receive day ahead capacity payments may participate by submitting Balancing Up Load (“BUL”) bids.  Both methods can have an immediate impact on the market clearing prices.  A recent article by Hanger, Rohrback and Adels in PennFutures3</w:t>
      </w:r>
      <w:r>
        <w:rPr>
          <w:rStyle w:val="FootnoteCharacters"/>
          <w:rStyle w:val="FootnoteReference"/>
        </w:rPr>
        <w:footnoteReference w:id="4"/>
      </w:r>
      <w:r>
        <w:rPr/>
        <w:t xml:space="preserve"> states that PJM’s Market Monitoring Unit estimates that a 1 percent reduction in peak demand could lower market clearing prices in that region by as much as 10 percent.  FERC Commissioner Donald F. Santa, Jr., also cites demand-side participation as a necessary component of the competitive marketplace</w:t>
      </w:r>
      <w:r>
        <w:rPr>
          <w:rStyle w:val="FootnoteCharacters"/>
          <w:rStyle w:val="FootnoteReference"/>
        </w:rPr>
        <w:footnoteReference w:id="5"/>
      </w:r>
      <w:r>
        <w:rPr/>
        <w:t>.  The load acting as a resource and BUL provisions of the Protocols, along with the DSM provisions of PURA, offer an excellent opportunity and means for load participation in the market.  This market solution is “self-implementing” and does not rely on artificial limiting mechanisms that may have undesirable effects on the market.</w:t>
      </w:r>
    </w:p>
    <w:p>
      <w:pPr>
        <w:pStyle w:val="BlockText"/>
        <w:numPr>
          <w:ilvl w:val="0"/>
          <w:numId w:val="3"/>
        </w:numPr>
        <w:rPr/>
      </w:pPr>
      <w:r>
        <w:rPr/>
        <w:t>Should ERCOT pay for ancillary services using the pay as bid (“PAB”) method rather than the market clearing price (“MCP”) method?</w:t>
      </w:r>
    </w:p>
    <w:p>
      <w:pPr>
        <w:pStyle w:val="BodyText"/>
        <w:rPr/>
      </w:pPr>
      <w:r>
        <w:rPr/>
        <w:t xml:space="preserve">The market clearing price (“MCP”) method should be used to pay for ancillary services since it most accurately reflects the value of energy on the open market.  Using the pay as bid (“PAB”) method is a return to a cost-based philosophy which is counter to the economic concepts underlying a deregulated open market.  The PAB method produces a cost plus margin approach to pricing.  As prices are posted and market players gain sophistication, that floor would slowly creep upward.  In contrast, the MCP approach will tend to lower the price.  In the MCP approach, only the last price picked is posted and market players compete to stay under that price.  Customers benefit from the MCP method when there is plentiful supply because the resources will compete to be selected by lowering their bids.  In fact, the PAB method could result in higher prices depending on the supply and demand situation. </w:t>
      </w:r>
    </w:p>
    <w:p>
      <w:pPr>
        <w:pStyle w:val="BodyText"/>
        <w:rPr>
          <w:b/>
        </w:rPr>
      </w:pPr>
      <w:r>
        <w:rPr/>
        <w:t>The PAB method also causes difficulty in settlement between the QSE and the loads that contract with the QSE for scheduling.  Under the PAB method, generators would be paid what they bid.  QSEs must then determine which load caused ERCOT to deploy the high cost generator and which load should be allocated that cost.  This situation would result in more complexity and confusion.  In contrast, the MCP method allocates the same cost across all loads because the deployment occurs for the benefit of all loads.</w:t>
      </w:r>
    </w:p>
    <w:p>
      <w:pPr>
        <w:pStyle w:val="BlockText"/>
        <w:numPr>
          <w:ilvl w:val="0"/>
          <w:numId w:val="3"/>
        </w:numPr>
        <w:rPr/>
      </w:pPr>
      <w:r>
        <w:rPr/>
        <w:t>Should ERCOT be given the responsibility to plan and schedule Transmission Facility Outages, in order to optimize use of the ERCOT transmission grid?</w:t>
      </w:r>
    </w:p>
    <w:p>
      <w:pPr>
        <w:pStyle w:val="BodyText"/>
        <w:rPr/>
      </w:pPr>
      <w:r>
        <w:rPr/>
        <w:t xml:space="preserve">The responsibility for submitting transmission facility outage plans properly lies with the TDSPs.  However, Section 8 of the Protocols gives ERCOT the authority to approve or disapprove those schedules based upon its assessment of the grid.  Therefore, ERCOT does have control over the optimization of the grid.  </w:t>
      </w:r>
    </w:p>
    <w:p>
      <w:pPr>
        <w:pStyle w:val="BlockText"/>
        <w:numPr>
          <w:ilvl w:val="0"/>
          <w:numId w:val="3"/>
        </w:numPr>
        <w:rPr/>
      </w:pPr>
      <w:r>
        <w:rPr/>
        <w:t>Should ERCOT deploy Reliability Must Run (RMR) Units to provide ancillary services if doing so would be less costly than market solutions, instead of first relying on Market Solutions as required by Protocols Section 6.7.8(1) (page 6-33)?</w:t>
      </w:r>
    </w:p>
    <w:p>
      <w:pPr>
        <w:pStyle w:val="BodyText"/>
        <w:rPr/>
      </w:pPr>
      <w:r>
        <w:rPr/>
        <w:t>No.  ERCOT should not use RMR Units as an alternative to market solutions.  To take this step would make ERCOT a market participant when it is supposed to be neutral.  The basic philosophy of the Protocols is that ERCOT “will not take actions with the intent to influence, set or control market prices.”  First and Second Informational Filings by ERCOT Stakeholders, September 8, 1999 and December 20, 1999 at Appendix A.  ERCOT would violate this basic principle if it deployed RMR units so as to affect market prices.  Furthermore, the RMR unit owners have the opportunity to participate in the balancing energy market once ERCOT has committed the unit to run.  Those Owners may submit balancing-up bids for available excess energy and receive incremental payments if chosen for the service.  Protocol Section 6.5.9(7).  Since the RMR units are compensated for their fixed costs pursuant to the RMR Agreement, the balancing-up bids submitted by the Owners of RMR units should reflect variable costs only.  The exclusion of the fixed cost factor from the balancing-up bid should then result in a lower bid and thus tend to reduce prices for balancing energy.</w:t>
      </w:r>
    </w:p>
    <w:p>
      <w:pPr>
        <w:pStyle w:val="BlockText"/>
        <w:numPr>
          <w:ilvl w:val="0"/>
          <w:numId w:val="3"/>
        </w:numPr>
        <w:rPr/>
      </w:pPr>
      <w:r>
        <w:rPr/>
        <w:t>As a technical matter, specifically to what extent can the various types of ancillary services defined in the Protocols be substituted for one another?  Should ERCOT substitute certain types of ancillary services for others in circumstances where doing so will minimize its procurement costs?</w:t>
      </w:r>
    </w:p>
    <w:p>
      <w:pPr>
        <w:pStyle w:val="BodyText"/>
        <w:rPr/>
      </w:pPr>
      <w:r>
        <w:rPr/>
        <w:t>Section 6.3.1(15) states that “ERCOT will not substitute one type of Ancillary Service for another.”  ERCOT has the responsibility to minimize its use of “non-market” solutions (such as Out of Merit Order Energy and Capacity or RMR Units) in clearing congestion.  Sections 6.3.1(14), (16) and (17).  To remain “neutral” in the market place and to comply with the guidelines set forth in Protocol Section 6, however, ERCOT should not be given the flexibility to consider price when designating ancillary services.  ERCOT should remain “insensitive to price.”   In addition, the Protocols consist of very few ancillary services, each with its own set of technical requirements (such as ramp times and rapidity of deployment) which help to define the sequence of ancillary service deployment.  Resources, particularly loads which are capable of providing only one type of Ancillary Service, cannot be substituted for a different service.  If the Protocols allow substitution, it will significantly decrease the opportunity for loads to participate in ancillary services markets.  This definition of ancillary services also precludes ERCOT from substituting services.</w:t>
      </w:r>
    </w:p>
    <w:p>
      <w:pPr>
        <w:pStyle w:val="BlockText"/>
        <w:numPr>
          <w:ilvl w:val="0"/>
          <w:numId w:val="3"/>
        </w:numPr>
        <w:rPr/>
      </w:pPr>
      <w:r>
        <w:rPr/>
        <w:t>How will ERCOT optimize its selection of ancillary services bids?  Will it optimize over the entire Day Ahead Period?  If not, should it be required to do so?</w:t>
      </w:r>
    </w:p>
    <w:p>
      <w:pPr>
        <w:pStyle w:val="BodyText"/>
        <w:rPr/>
      </w:pPr>
      <w:r>
        <w:rPr/>
        <w:t xml:space="preserve">This question suggests that bids for ancillary services cover multiple hours; but that is not the case.  Currently, the design software optimizes ancillary services bids within each hour.  The software does this via the bid stack without ERCOT involvement.  This method should remain in place until it can be demonstrated that this results in non-optimal selection.  The PUC’s Market Oversight Division should perform the monitoring and studies that may be needed using actual information from the ERCOT market.  If those studies indicate that another algorithm is required to achieve lower system costs, then that should be pursued through the Protocols change process.  </w:t>
      </w:r>
    </w:p>
    <w:p>
      <w:pPr>
        <w:pStyle w:val="BlockText"/>
        <w:numPr>
          <w:ilvl w:val="0"/>
          <w:numId w:val="3"/>
        </w:numPr>
        <w:rPr/>
      </w:pPr>
      <w:r>
        <w:rPr/>
        <w:t>Are the payments for Out of Merit Order service contained in Protocols Section 6.8.2 (pages 6-47 – 6-51) reasonable, specifically the ratcheted payments for capacity starting at 150% of the Replacement Reserve Service Market Clearing Price for Capacity (MCPC) and the 18,000 heat rate for energy?</w:t>
      </w:r>
    </w:p>
    <w:p>
      <w:pPr>
        <w:pStyle w:val="BodyText"/>
        <w:rPr/>
      </w:pPr>
      <w:r>
        <w:rPr/>
        <w:t xml:space="preserve">The payments for Out of Merit Order Service are reasonable and reflect changes made at the suggestion of Commission staff and its consultant, Dr. Oren, at a PUCT ancillary service workshop.  Payments using the 150% and 125% multipliers are only applied if the bid from the Out of Merit Order-Capacity (“OOMC”) resource is higher than the multiplier times the Market Clearing Price for Capacity (“MCPC”).  The OOMC resource never receives the price it is seeking and as compensation for giving up the chance to receive its asking price, and as compensation for serving an otherwise unmet need, the resource is granted a premium over MCP.  If the multipliers are lowered, then it is likely that the OOMC resource will either consistently be applying for additional economic relief to cover its operating costs or will be encouraged to retire the resource and try to obtain an RMR contract with ERCOT that could easily become much more expensive than payments under the existing OOMC proposal.  The ratcheting provisions in Section 6.8.2.1(3) are also adequate to prevent a resource from being used for OOMC service too frequently within a 90 day period.  </w:t>
      </w:r>
    </w:p>
    <w:p>
      <w:pPr>
        <w:pStyle w:val="BodyText"/>
        <w:rPr/>
      </w:pPr>
      <w:r>
        <w:rPr/>
        <w:t xml:space="preserve">The 18,000 heat rate was a compromise level chosen after much debate among the Stakeholders.  The Stakeholders were charged with finding a solution that would fit a wide range of situations and selected 18,000.  Until the 18,000 heat rate is tested in application, it should not be modified.  </w:t>
      </w:r>
    </w:p>
    <w:p>
      <w:pPr>
        <w:pStyle w:val="BlockText"/>
        <w:numPr>
          <w:ilvl w:val="0"/>
          <w:numId w:val="3"/>
        </w:numPr>
        <w:rPr/>
      </w:pPr>
      <w:r>
        <w:rPr/>
        <w:t xml:space="preserve">In Protocols Section 4.1.2 (pages 4-2 – 4-3), should the adjustment period scheduling process be amended to include a requirement that ERCOT publish the MCP for Balancing Energy ten minutes before the Operating Hour (T minus 10 minutes)? </w:t>
      </w:r>
    </w:p>
    <w:p>
      <w:pPr>
        <w:pStyle w:val="BodyText"/>
        <w:rPr/>
      </w:pPr>
      <w:r>
        <w:rPr/>
        <w:t xml:space="preserve">It was the Stakeholder’s intent that MCP for balancing energy be published 10 minutes before the operating hour.  Reliant Energy believes that intent is reflected in the system design.  If additional language is required because the Protocols are not sufficiently clear, that should be addressed through the Protocol change process. </w:t>
      </w:r>
    </w:p>
    <w:p>
      <w:pPr>
        <w:pStyle w:val="BlockText"/>
        <w:numPr>
          <w:ilvl w:val="0"/>
          <w:numId w:val="3"/>
        </w:numPr>
        <w:rPr/>
      </w:pPr>
      <w:r>
        <w:rPr/>
        <w:t>What accountability provisions, if any, should be added to the Protocols to ensure that a transmission and distribution service provider timely processes retail switch requests, drops to the provider of last resort (POLR), and move-in/move-out requests?</w:t>
      </w:r>
    </w:p>
    <w:p>
      <w:pPr>
        <w:pStyle w:val="BodyText"/>
        <w:rPr/>
      </w:pPr>
      <w:r>
        <w:rPr/>
        <w:t>This is a tariff issue, not a Protocol issue.  No accountability provisions need be added to the Protocols to ensure that a TDSP timely processes retail switch requests, drops to POLR, and move-in/move-out requests.  Accountability provisions for timely processing of these requests exist in the “Tariff for Retail Delivery Service” (PUC Subst. R. §25.214) of the statewide Terms and Conditions (Project No. 22187), in the Customer Protection Rules (Project No. 22255), and the defined complaint procedures related to those request processes.  If a TDSP does not complete its duties within the Protocol’s prescribed timelines, then a non-compliance report will be generated by ERCOT and made available to the Commission’s Market Oversight Division for possible further Commission action.</w:t>
      </w:r>
    </w:p>
    <w:p>
      <w:pPr>
        <w:pStyle w:val="BlockText"/>
        <w:numPr>
          <w:ilvl w:val="0"/>
          <w:numId w:val="3"/>
        </w:numPr>
        <w:rPr/>
      </w:pPr>
      <w:r>
        <w:rPr/>
        <w:t xml:space="preserve">Protocols Section 1.1 (page 1-1) states that if any express provision of any Agreement conflicts with any provision of the Protocols, the Agreement shall prevail to the extent of the conflict.  Should Agreement provisions that deviate from the Protocols be required to expressly state that they deviate from the Protocols and should such deviations be effective only upon approval by the ERCOT Board of Directors on a showing of good cause? </w:t>
      </w:r>
    </w:p>
    <w:p>
      <w:pPr>
        <w:pStyle w:val="BodyText"/>
        <w:rPr/>
      </w:pPr>
      <w:r>
        <w:rPr/>
        <w:t xml:space="preserve">The Agreements are part of the Protocols and therefore are approved by the ERCOT Board.  In addition, they can be modified only though the Protocol change process which will also require Board approval.  Thus, the Commission’s concern that unknown or stray modifications will arise in the Agreements is misplaced.  The only time an unidentified conflict might occur is if the Protocols are changed in the middle of an Agreement’s one year term.  In that situation, it will be incumbent upon the members of the Protocol change process subcommittee to consider the effect a Protocol change would have on the Agreements and to inform the Board.  In their current form, only a few Agreement provisions deviate from the Protocols.  These are limitations on liability and the termination provisions. </w:t>
      </w:r>
    </w:p>
    <w:p>
      <w:pPr>
        <w:pStyle w:val="Heading1"/>
        <w:ind w:hanging="0" w:start="0"/>
        <w:rPr/>
      </w:pPr>
      <w:bookmarkStart w:id="2" w:name="__RefHeading___Toc505133818"/>
      <w:bookmarkEnd w:id="2"/>
      <w:r>
        <w:rPr/>
        <w:t>Intervenor Issues</w:t>
      </w:r>
    </w:p>
    <w:p>
      <w:pPr>
        <w:pStyle w:val="Heading3"/>
        <w:rPr/>
      </w:pPr>
      <w:bookmarkStart w:id="3" w:name="__RefHeading___Toc505133819"/>
      <w:bookmarkEnd w:id="3"/>
      <w:r>
        <w:rPr/>
        <w:t>AES Deepwater Issues</w:t>
      </w:r>
    </w:p>
    <w:p>
      <w:pPr>
        <w:pStyle w:val="BlockText"/>
        <w:numPr>
          <w:ilvl w:val="0"/>
          <w:numId w:val="4"/>
        </w:numPr>
        <w:rPr/>
      </w:pPr>
      <w:r>
        <w:rPr/>
        <w:t xml:space="preserve">Do the Protocols need to provide a pricing or scheduling mechanism that allows the QFs in ERCOT to exercise their full range of PURPA rights?  </w:t>
      </w:r>
    </w:p>
    <w:p>
      <w:pPr>
        <w:pStyle w:val="BodyText"/>
        <w:rPr/>
      </w:pPr>
      <w:r>
        <w:rPr/>
        <w:t xml:space="preserve">No.  The Commission determined at its July 12, 2000 Open Meeting that QFs should participate in the market in a manner similar to other generators.  Thus, this is not an ERCOT Protocol issue and should not be taken up in this proceeding.  </w:t>
      </w:r>
    </w:p>
    <w:p>
      <w:pPr>
        <w:pStyle w:val="BlockText"/>
        <w:numPr>
          <w:ilvl w:val="0"/>
          <w:numId w:val="3"/>
        </w:numPr>
        <w:rPr/>
      </w:pPr>
      <w:r>
        <w:rPr/>
        <w:t>Should QSEs be able to post a surety bond to meet creditworthiness requirements?</w:t>
      </w:r>
    </w:p>
    <w:p>
      <w:pPr>
        <w:pStyle w:val="BodyText"/>
        <w:rPr>
          <w:b/>
        </w:rPr>
      </w:pPr>
      <w:r>
        <w:rPr/>
        <w:t xml:space="preserve">QSEs should be permitted to post a surety bond.  This mechanism was discussed as part of the ERCOT QSE Financial Security strawdog which was approved by the RUG at its July 5, 2000 meeting and was omitted from the Protocols only because ERCOT did not have a CFO to set the process in motion, and define the requirements of the bond.  Language including surety bonds should be added to the Protocols either through stipulation in this proceeding or through the Protocol change process.  </w:t>
      </w:r>
    </w:p>
    <w:p>
      <w:pPr>
        <w:pStyle w:val="Heading3"/>
        <w:rPr/>
      </w:pPr>
      <w:bookmarkStart w:id="4" w:name="__RefHeading___Toc505133820"/>
      <w:bookmarkEnd w:id="4"/>
      <w:r>
        <w:rPr/>
        <w:t>Calpine Corp Issues</w:t>
      </w:r>
    </w:p>
    <w:p>
      <w:pPr>
        <w:pStyle w:val="BlockText"/>
        <w:numPr>
          <w:ilvl w:val="0"/>
          <w:numId w:val="5"/>
        </w:numPr>
        <w:rPr/>
      </w:pPr>
      <w:r>
        <w:rPr/>
        <w:t xml:space="preserve">Should Generators be explicitly compensated for the reactive support voltage control service they provide to the power system?  </w:t>
      </w:r>
    </w:p>
    <w:p>
      <w:pPr>
        <w:pStyle w:val="BodyText"/>
        <w:rPr/>
      </w:pPr>
      <w:r>
        <w:rPr/>
        <w:t xml:space="preserve">Yes.  Generators should be explicitly compensated for the reactive support voltage control service they provide, but it is not necessary to have this prior to market opening.  Protocol Implementation Plan (“PIP”) #102 provides for this compensation when the system design is modified.  </w:t>
      </w:r>
      <w:r>
        <w:rPr>
          <w:i/>
        </w:rPr>
        <w:t>See</w:t>
      </w:r>
      <w:r>
        <w:rPr/>
        <w:t xml:space="preserve"> Protocol sections 6.8.4 and 6.9.3.  (</w:t>
      </w:r>
      <w:r>
        <w:rPr>
          <w:i/>
        </w:rPr>
        <w:t>See also</w:t>
      </w:r>
      <w:r>
        <w:rPr/>
        <w:t xml:space="preserve"> discussion at Dynegy Issues below).  </w:t>
      </w:r>
    </w:p>
    <w:p>
      <w:pPr>
        <w:pStyle w:val="Heading3"/>
        <w:rPr/>
      </w:pPr>
      <w:bookmarkStart w:id="5" w:name="__RefHeading___Toc505133821"/>
      <w:bookmarkEnd w:id="5"/>
      <w:r>
        <w:rPr/>
        <w:t>City of Austin Issues</w:t>
      </w:r>
    </w:p>
    <w:p>
      <w:pPr>
        <w:pStyle w:val="BlockText"/>
        <w:numPr>
          <w:ilvl w:val="0"/>
          <w:numId w:val="6"/>
        </w:numPr>
        <w:rPr/>
      </w:pPr>
      <w:r>
        <w:rPr/>
        <w:t xml:space="preserve">Should the Commission require ERCOT to assure that the approved Protocols be fully operational at the opening of the restructured wholesale market?  </w:t>
      </w:r>
    </w:p>
    <w:p>
      <w:pPr>
        <w:pStyle w:val="BodyText"/>
        <w:rPr/>
      </w:pPr>
      <w:r>
        <w:rPr/>
        <w:t xml:space="preserve">No.  The Protocols recognize that there are “gaps” between the system capabilities and the Protocols. However, those issues have been identified and prioritized to ensure that the market will be functional when it opens.  In addition, the Stakeholders have come to an agreement regarding which “gaps” need to be resolved and which Protocol sections will be required by market open.  </w:t>
      </w:r>
    </w:p>
    <w:p>
      <w:pPr>
        <w:pStyle w:val="BlockText"/>
        <w:numPr>
          <w:ilvl w:val="0"/>
          <w:numId w:val="3"/>
        </w:numPr>
        <w:rPr/>
      </w:pPr>
      <w:r>
        <w:rPr/>
        <w:t xml:space="preserve">Do the guidelines for load profiling and aggregation procedures penalize the load serving entity with a higher than typical historical energy efficiency investment for making those investments?  </w:t>
      </w:r>
    </w:p>
    <w:p>
      <w:pPr>
        <w:pStyle w:val="BodyText"/>
        <w:rPr/>
      </w:pPr>
      <w:r>
        <w:rPr/>
        <w:t>The load profiling and aggregation procedures were difficult issues to reach agreement on and were discussed in depth by the Stakeholders in the affiliated working groups.    The course taken by the Protocols was ultimately decided by the Retail Users Group (“RUG”) at its October 23, 2000 meeting.  The RUG, which represents a broad and diverse group of Stakeholders, balanced the many alternatives and concluded that the procedures would not penalize a load serving entity with a history of energy efficiency.  The issue has been thoroughly debated, reviewed and resolved through the Protocol development process and need not be revisited.  If the City of Austin, which currently is not an opt-in member of ERCOT, chooses to opt-in, it may at a later date raise this issue if it still exists.</w:t>
      </w:r>
    </w:p>
    <w:p>
      <w:pPr>
        <w:pStyle w:val="BlockText"/>
        <w:numPr>
          <w:ilvl w:val="0"/>
          <w:numId w:val="3"/>
        </w:numPr>
        <w:rPr/>
      </w:pPr>
      <w:r>
        <w:rPr/>
        <w:t xml:space="preserve">Should the Commission direct ERCOT to develop unique weather zones for every major load center with distinguishing weather characteristics and upon demonstration that comprehensive data exist?  </w:t>
      </w:r>
    </w:p>
    <w:p>
      <w:pPr>
        <w:pStyle w:val="BodyText"/>
        <w:rPr/>
      </w:pPr>
      <w:r>
        <w:rPr/>
        <w:t>The method for developing weather zones was discussed in the working groups and voted on at the RUG on October 23, 2000.  The RUG concluded that there was no evidence of significant weather differences between major cities such as Austin and San Antonio and, even if there were such differences, the program design averages several weather stations around a weather zone.  This would result in a smoothing effect for a city such as Austin.  The Austin Energy methodology has been rejected by a majority of the Stakeholders and should not be re-addressed at this time.</w:t>
      </w:r>
    </w:p>
    <w:p>
      <w:pPr>
        <w:pStyle w:val="BlockText"/>
        <w:numPr>
          <w:ilvl w:val="0"/>
          <w:numId w:val="3"/>
        </w:numPr>
        <w:rPr/>
      </w:pPr>
      <w:r>
        <w:rPr/>
        <w:t xml:space="preserve">Despite the ongoing discussions, should the Commission approve the ADR language as submitted for approval wherein mediation, not arbitration, is the default procedure to settle disputes?  </w:t>
      </w:r>
    </w:p>
    <w:p>
      <w:pPr>
        <w:pStyle w:val="BodyText"/>
        <w:rPr/>
      </w:pPr>
      <w:r>
        <w:rPr/>
        <w:t xml:space="preserve">ERCOT Stakeholders have developed two models for Alternative Dispute Resolution (“ADR”).  The original procedures are found in Section 20 of the Protocols and provide for a default to mediation if informal negotiations are unsuccessful.  The second ADR provision was developed in response to the expressed desire of several parties to use arbitration as the default ADR procedure.  Reliant Energy understands that FPL Energy intends to attach that alternative provision to its brief.  Reliant Energy participated in the Stakeholder process which developed both alternatives and believes that both provisions are viable options for resolving disputes and protecting the disputing parties’ rights.  </w:t>
      </w:r>
    </w:p>
    <w:p>
      <w:pPr>
        <w:pStyle w:val="BlockText"/>
        <w:numPr>
          <w:ilvl w:val="0"/>
          <w:numId w:val="3"/>
        </w:numPr>
        <w:rPr/>
      </w:pPr>
      <w:r>
        <w:rPr/>
        <w:t xml:space="preserve">Should the Commission revisit and clarify the late fee policy for electronic fund transfers?   </w:t>
      </w:r>
    </w:p>
    <w:p>
      <w:pPr>
        <w:pStyle w:val="BodyText"/>
        <w:rPr/>
      </w:pPr>
      <w:r>
        <w:rPr/>
        <w:t>This is not a Protocol issue.  The Protocols clearly define how payments will be made (Section 9.4.1), when payments should be received (Section 9.4.2), remedies available to ERCOT for short payments (Section 9.4.4), and the right to collect late fees (Section 9.4.6).  They do not and should not address late fees for delinquent electronic fund transfers.  That is a separate matter to be addressed contractually between the bank making the EFT and the market participant.</w:t>
      </w:r>
    </w:p>
    <w:p>
      <w:pPr>
        <w:pStyle w:val="BodyText"/>
        <w:rPr/>
      </w:pPr>
      <w:r>
        <w:rPr/>
      </w:r>
    </w:p>
    <w:p>
      <w:pPr>
        <w:pStyle w:val="Heading3"/>
        <w:rPr/>
      </w:pPr>
      <w:bookmarkStart w:id="6" w:name="__RefHeading___Toc505133822"/>
      <w:r>
        <w:rPr/>
        <w:t>City of Denton Issues</w:t>
      </w:r>
      <w:bookmarkEnd w:id="6"/>
      <w:r>
        <w:rPr/>
        <w:t xml:space="preserve"> </w:t>
      </w:r>
    </w:p>
    <w:p>
      <w:pPr>
        <w:pStyle w:val="BlockText"/>
        <w:numPr>
          <w:ilvl w:val="0"/>
          <w:numId w:val="7"/>
        </w:numPr>
        <w:rPr/>
      </w:pPr>
      <w:r>
        <w:rPr/>
        <w:t xml:space="preserve">Should the RMR capacity and energy payments be revised to allow the unit owners to recover the costs to provide those services, much like the OOM service payment structure?  </w:t>
      </w:r>
    </w:p>
    <w:p>
      <w:pPr>
        <w:pStyle w:val="BodyText"/>
        <w:rPr/>
      </w:pPr>
      <w:r>
        <w:rPr/>
        <w:t xml:space="preserve">The Protocols permit the RMR unit owners to negotiate the price and terms of their contracts at a level sufficient to cover the unit’s costs.  The owner is then required to comply with the deal it has made.  It is inconsistent with market principles to permit the owner to return after the fact to true-up price to cost.  To allow a true-up for RMR units would essentially re-regulate those units, requiring numerous hearings at the PUC to determine the “correct” cost-based rates.  </w:t>
      </w:r>
    </w:p>
    <w:p>
      <w:pPr>
        <w:pStyle w:val="BlockText"/>
        <w:numPr>
          <w:ilvl w:val="0"/>
          <w:numId w:val="3"/>
        </w:numPr>
        <w:rPr/>
      </w:pPr>
      <w:r>
        <w:rPr/>
        <w:t xml:space="preserve">Is there a bias towards OOM services that could cause market power abuses by fleet generation owners, especially in non-attainment areas, and could such abuse be magnified in areas subject to emissions limitations that could restrict operation?  </w:t>
      </w:r>
    </w:p>
    <w:p>
      <w:pPr>
        <w:pStyle w:val="BodyText"/>
        <w:rPr/>
      </w:pPr>
      <w:r>
        <w:rPr/>
        <w:t>No.  Reliant Energy does not believe that the Protocols contain any bias toward OOM service that could cause market power abuses by fleet generation owners. If after market operations begin and demonstrate a bias then these concerns can be better addressed through the Protocol change process.  There is no need to address them before the market opens when there is no indication of bias.</w:t>
      </w:r>
    </w:p>
    <w:p>
      <w:pPr>
        <w:pStyle w:val="BlockText"/>
        <w:numPr>
          <w:ilvl w:val="0"/>
          <w:numId w:val="3"/>
        </w:numPr>
        <w:rPr/>
      </w:pPr>
      <w:r>
        <w:rPr/>
        <w:t xml:space="preserve">Is the RMR Agreement penalty for an unexcused Misconduct Event excessive and are the performance standards to define the event too strict and the excuse for misconduct too vague?  </w:t>
      </w:r>
    </w:p>
    <w:p>
      <w:pPr>
        <w:pStyle w:val="BodyText"/>
        <w:rPr/>
      </w:pPr>
      <w:r>
        <w:rPr/>
        <w:t xml:space="preserve">The RMR Agreement penalty for unexcused Misconduct Events is not excessive.  Nor are the standards too strict or vague.  A Misconduct Event is basically the purposeful refusal or failure to perform combined with false reporting to ERCOT.  Misconduct Events are of concern to all market participants and could seriously disrupt the market.  The fine of $10,000 per event is intended to prevent the purposeful event from re-occurring.  Although the Protocols could have created increasing fines for repeated and intentional false reports, they do not.   The fine has been kept constant for each occurrence.  If the RMR owner acts in good faith and properly documents its activities, it is unlikely that a fine would ever be administered.  </w:t>
      </w:r>
    </w:p>
    <w:p>
      <w:pPr>
        <w:pStyle w:val="BodyText"/>
        <w:rPr/>
      </w:pPr>
      <w:r>
        <w:rPr/>
        <w:t>Performance standards are not too strict or vague.  Performance is primarily measured through the Equivalent Availability Factor (“EAF”) reduction.  This is discussed below in response to City of Denton #4.</w:t>
      </w:r>
    </w:p>
    <w:p>
      <w:pPr>
        <w:pStyle w:val="BlockText"/>
        <w:numPr>
          <w:ilvl w:val="0"/>
          <w:numId w:val="3"/>
        </w:numPr>
        <w:rPr/>
      </w:pPr>
      <w:r>
        <w:rPr/>
        <w:t xml:space="preserve">Should RMR agreements be revised to remove mechanisms that result in a doubling of penalties for older units’ failure to meet “rigid standards” and be replaced with less chilling penalties?  </w:t>
      </w:r>
    </w:p>
    <w:p>
      <w:pPr>
        <w:pStyle w:val="BodyText"/>
        <w:rPr>
          <w:b/>
        </w:rPr>
      </w:pPr>
      <w:r>
        <w:rPr/>
        <w:t xml:space="preserve">There is no need to revise the RMR Agreements as there is no doubling of penalties.  Penalties and reductions arise under two different events:  the Misconduct Event penalty and EAF reduction.  The Misconduct Event penalty relates to false reporting or a lack of reporting.  The Equivalent Availability Factor (“EAF”) reduction relates to a unit’s availability and the corresponding reduction in capacity payments if the unit’s availability suffers. The payment reduction does not begin until availability is reduced by more than 15%.  Beyond that, if the resource is consistently at an availability rate of less than 50% ERCOT has the right to terminate the agreement.  </w:t>
      </w:r>
    </w:p>
    <w:p>
      <w:pPr>
        <w:pStyle w:val="BodyText"/>
        <w:rPr>
          <w:b/>
        </w:rPr>
      </w:pPr>
      <w:r>
        <w:rPr/>
        <w:t xml:space="preserve">The RMR Agreement should, however, be revised to make the availability performance requirement more stringent.  Currently the rolling EAF reduction does not come into play until 4379 hours have elapsed in any given contract year.  In theory this means that the RMR owner could receive capacity payments for 6 months without ever having the resource available.  ERCOT does not have the right to terminate the agreement until the 4380th hour.  At that point ERCOT will have paid 6 months of capacity payments for a unit that was never available.  The RMR Agreement should be modified to ensure this does not occur or to have a mechanism for ERCOT to recoup the payments made to the RMR owner if the RMR resource never performs.  </w:t>
      </w:r>
    </w:p>
    <w:p>
      <w:pPr>
        <w:pStyle w:val="BlockText"/>
        <w:numPr>
          <w:ilvl w:val="0"/>
          <w:numId w:val="3"/>
        </w:numPr>
        <w:rPr/>
      </w:pPr>
      <w:r>
        <w:rPr/>
        <w:t xml:space="preserve">Should the Protocols address the regional needs for brownfield development of new generation in non-attainment areas?  </w:t>
      </w:r>
    </w:p>
    <w:p>
      <w:pPr>
        <w:pStyle w:val="BodyText"/>
        <w:rPr/>
      </w:pPr>
      <w:r>
        <w:rPr/>
        <w:t xml:space="preserve">This issue is outside of the scope of the Protocols and should not be addressed in this proceeding.  This issue would be better addressed in a separate PUC study if it is determined a study is necessary.  </w:t>
      </w:r>
    </w:p>
    <w:p>
      <w:pPr>
        <w:pStyle w:val="BlockText"/>
        <w:numPr>
          <w:ilvl w:val="0"/>
          <w:numId w:val="3"/>
        </w:numPr>
        <w:rPr/>
      </w:pPr>
      <w:r>
        <w:rPr/>
        <w:t xml:space="preserve">Should an RMR unit owner be able to use the unit for self-provision and should ERCOT withhold 10% of gross revenues from sales allowed in the Balancing Energy market?   </w:t>
      </w:r>
    </w:p>
    <w:p>
      <w:pPr>
        <w:pStyle w:val="BodyText"/>
        <w:rPr/>
      </w:pPr>
      <w:r>
        <w:rPr/>
        <w:t>The RMR unit owner should not be able to use the unit for self provision.  At issue here is the need for reliability coupled with ERCOT’s purchase of a resource’s capacity for the duration of the RMR Agreement.  To ensure reliability and availability, ERCOT must always have control over the unit’s output.  If, however, the unit is on line but not all available capacity is being used, then any revenues generated by the resource for the owner should be shared with ERCOT as payment for the right to temporarily use the capacity that had been sold to ERCOT under the RMR contract.</w:t>
      </w:r>
    </w:p>
    <w:p>
      <w:pPr>
        <w:pStyle w:val="Heading3"/>
        <w:rPr/>
      </w:pPr>
      <w:bookmarkStart w:id="7" w:name="__RefHeading___Toc505133823"/>
      <w:bookmarkEnd w:id="7"/>
      <w:r>
        <w:rPr/>
        <w:t>City Public Service of San Antonio Issues</w:t>
      </w:r>
    </w:p>
    <w:p>
      <w:pPr>
        <w:pStyle w:val="BlockText"/>
        <w:numPr>
          <w:ilvl w:val="0"/>
          <w:numId w:val="8"/>
        </w:numPr>
        <w:rPr/>
      </w:pPr>
      <w:r>
        <w:rPr/>
        <w:t xml:space="preserve">Should the settlement interval for the determination of the coincident peak demand for TCOS allocation purposes remain at one hour or change to a 15 minute interval?  </w:t>
      </w:r>
    </w:p>
    <w:p>
      <w:pPr>
        <w:pStyle w:val="BodyText"/>
        <w:rPr/>
      </w:pPr>
      <w:r>
        <w:rPr/>
        <w:t xml:space="preserve">This is an issue for the Commission, but not one that should be decided in approving the Protocols.  Although there is a disconnect between the Protocols and Section §25.192 of the PUC Transmission Rule, the PUC has initiated a rulemaking (Project No. 23157) to revise the rule to make it consistent with the new ERCOT market design.  The issue raised here by San Antonio will be a subject of discussion in that rulemaking and if any action needs to be taken in the Protocols at the conclusion of that rulemaking it should be done through the Protocol change process.   It would be premature to make the change now as the market will not be harmed by the wait and the rule is not final. </w:t>
      </w:r>
    </w:p>
    <w:p>
      <w:pPr>
        <w:pStyle w:val="BlockText"/>
        <w:numPr>
          <w:ilvl w:val="0"/>
          <w:numId w:val="3"/>
        </w:numPr>
        <w:rPr/>
      </w:pPr>
      <w:r>
        <w:rPr/>
        <w:t xml:space="preserve">Should section 9.8.2, which requires ERCOT to produce certain data elements for each month to be used by TDSPs as billing determinants for transmission access service, be deleted?   </w:t>
      </w:r>
    </w:p>
    <w:p>
      <w:pPr>
        <w:pStyle w:val="BodyText"/>
        <w:rPr/>
      </w:pPr>
      <w:r>
        <w:rPr/>
        <w:t xml:space="preserve">ERCOT will provide whatever billing determinants are necessary to permit TDSPs to comply with the billing methodology adopted in Docket No. 22344.  The Protocols reflect the consensus of the market participants regarding necessary data elements.  It should not be a problem if the Protocols result in extra information.  In any event, that is an issue that should be dealt with through the Protocol change process. </w:t>
      </w:r>
    </w:p>
    <w:p>
      <w:pPr>
        <w:pStyle w:val="BlockText"/>
        <w:numPr>
          <w:ilvl w:val="0"/>
          <w:numId w:val="3"/>
        </w:numPr>
        <w:rPr/>
      </w:pPr>
      <w:r>
        <w:rPr/>
        <w:t xml:space="preserve">Should the definition of “Market Solution” be changed to broaden the scope from “local congestion” to any circumstance where local reliability problems are encountered?  Should resources be narrowed to mean “generation” and exclude loads acting as resources?  </w:t>
      </w:r>
    </w:p>
    <w:p>
      <w:pPr>
        <w:pStyle w:val="BodyText"/>
        <w:rPr/>
      </w:pPr>
      <w:r>
        <w:rPr/>
        <w:t xml:space="preserve">The question of market solution has been discussed in detail throughout the Protocol process and the Stakeholders concluded that it should be limited to local congestion.  This should not be revisited.  There is no reason to narrow the definition of resources.  It is more important to have an expansive definition to ensure abundant competition.  </w:t>
      </w:r>
    </w:p>
    <w:p>
      <w:pPr>
        <w:pStyle w:val="BlockText"/>
        <w:numPr>
          <w:ilvl w:val="0"/>
          <w:numId w:val="3"/>
        </w:numPr>
        <w:rPr/>
      </w:pPr>
      <w:r>
        <w:rPr/>
        <w:t xml:space="preserve">Should the effective date of any revision to the Protocols be extended to at least 35 days beyond the date of the decision of the Board to allow market participants to appeal the change decided by the Commission and should the effective date be extended further pending the decision on appeal?  Should ERCOT file documentation of the request to change to the Commission along with the informational filing?  </w:t>
      </w:r>
    </w:p>
    <w:p>
      <w:pPr>
        <w:pStyle w:val="BodyText"/>
        <w:rPr/>
      </w:pPr>
      <w:r>
        <w:rPr/>
        <w:t xml:space="preserve">The requested Protocol change is not needed for market open and if made should be made through the Protocol change process.  Reliant Energy would, however, oppose any change to the current language.  The ERCOT Board is self-governing and it is the intent of the Protocols to allow them to make binding decisions which could be implemented responsively to required market needs, including those that change Protocols, through the Stakeholder process.  </w:t>
      </w:r>
    </w:p>
    <w:p>
      <w:pPr>
        <w:pStyle w:val="BlockText"/>
        <w:numPr>
          <w:ilvl w:val="0"/>
          <w:numId w:val="3"/>
        </w:numPr>
        <w:rPr/>
      </w:pPr>
      <w:r>
        <w:rPr/>
        <w:t xml:space="preserve">Due to the gaps between the August and November Protocols and the financial impact such gaps could have on participants beginning June 1, 2002, should Commission assess the commencement of a single control area operation on June 1, 2001 given the gaps?   </w:t>
      </w:r>
    </w:p>
    <w:p>
      <w:pPr>
        <w:pStyle w:val="BodyText"/>
        <w:rPr/>
      </w:pPr>
      <w:r>
        <w:rPr/>
        <w:t xml:space="preserve">Single control area operation has been contemplated for over two years and must be implemented at the beginning of the pilot for the pilot to operate effectively. The Supplemental Filing of the Protocols on January 5, 2001 shows that many of the “gaps” have been closed and thus there is no longer a threat of great financial impact.  If any gaps remain that impact the market participants, those concerns can be addressed in the Protocol change process. </w:t>
      </w:r>
    </w:p>
    <w:p>
      <w:pPr>
        <w:pStyle w:val="BlockText"/>
        <w:numPr>
          <w:ilvl w:val="0"/>
          <w:numId w:val="3"/>
        </w:numPr>
        <w:rPr/>
      </w:pPr>
      <w:r>
        <w:rPr/>
        <w:t xml:space="preserve">Do (and should) the equations in Sections 7.3.3.2 and 7.3.3.3.1 track the value associated with CSCs as that value would be reflected under the zonal method were such methods to be implemented on June 1, 2001? </w:t>
      </w:r>
    </w:p>
    <w:p>
      <w:pPr>
        <w:pStyle w:val="BodyText"/>
        <w:rPr/>
      </w:pPr>
      <w:r>
        <w:rPr/>
        <w:t>Reliant Energy reserves the right to respond to this newly added issue in its reply brief.</w:t>
      </w:r>
    </w:p>
    <w:p>
      <w:pPr>
        <w:pStyle w:val="BlockText"/>
        <w:numPr>
          <w:ilvl w:val="0"/>
          <w:numId w:val="3"/>
        </w:numPr>
        <w:rPr/>
      </w:pPr>
      <w:r>
        <w:rPr/>
        <w:t xml:space="preserve">Do (and should) the Texas SET transactions defined in Section 19 of the Protocols accommodate the billing and information exchange requirements between the Competitive Retailers and MOUs/Coops (or between ERCOT and MOUs/Coops), as those requirements are set forth in the Terms and Conditions of Access by Competitive Retailers to the Delivery Systems of MOUs/Coops (pending proposed rule)? </w:t>
      </w:r>
    </w:p>
    <w:p>
      <w:pPr>
        <w:pStyle w:val="BodyText"/>
        <w:rPr>
          <w:b/>
        </w:rPr>
      </w:pPr>
      <w:r>
        <w:rPr/>
        <w:t xml:space="preserve"> </w:t>
      </w:r>
      <w:r>
        <w:rPr/>
        <w:t>Reliant Energy reserves the right to respond to this newly added issue in its reply brief.</w:t>
      </w:r>
    </w:p>
    <w:p>
      <w:pPr>
        <w:pStyle w:val="Heading3"/>
        <w:rPr/>
      </w:pPr>
      <w:bookmarkStart w:id="8" w:name="__RefHeading___Toc505133824"/>
      <w:bookmarkEnd w:id="8"/>
      <w:r>
        <w:rPr/>
        <w:t>Consumers Group Issues</w:t>
      </w:r>
    </w:p>
    <w:p>
      <w:pPr>
        <w:pStyle w:val="BlockText"/>
        <w:numPr>
          <w:ilvl w:val="0"/>
          <w:numId w:val="9"/>
        </w:numPr>
        <w:rPr/>
      </w:pPr>
      <w:r>
        <w:rPr/>
        <w:t xml:space="preserve">How should the Commission evaluate the effect of the design, allocation of and total cost of the registration system and customer profiles on the residential and low income customers?   </w:t>
      </w:r>
    </w:p>
    <w:p>
      <w:pPr>
        <w:pStyle w:val="BodyText"/>
        <w:rPr/>
      </w:pPr>
      <w:r>
        <w:rPr/>
        <w:t>Commission actions and policy decisions are not a consideration for the Protocols.  The Protocols incorporate all consumer protection issues that the Commission requires ERCOT to handle.  Any remaining issues are properly addressed by the Commission.</w:t>
      </w:r>
    </w:p>
    <w:p>
      <w:pPr>
        <w:pStyle w:val="BodyText"/>
        <w:rPr/>
      </w:pPr>
      <w:r>
        <w:rPr/>
      </w:r>
    </w:p>
    <w:p>
      <w:pPr>
        <w:pStyle w:val="Heading3"/>
        <w:rPr/>
      </w:pPr>
      <w:bookmarkStart w:id="9" w:name="__RefHeading___Toc505133825"/>
      <w:bookmarkEnd w:id="9"/>
      <w:r>
        <w:rPr/>
        <w:t>Dynegy Issues</w:t>
      </w:r>
    </w:p>
    <w:p>
      <w:pPr>
        <w:pStyle w:val="BlockText"/>
        <w:numPr>
          <w:ilvl w:val="0"/>
          <w:numId w:val="10"/>
        </w:numPr>
        <w:rPr/>
      </w:pPr>
      <w:r>
        <w:rPr/>
        <w:t xml:space="preserve">Should utilities in Texas remain obligated to buy energy from QFs?  (This is not addressed in the Protocols.)   </w:t>
      </w:r>
    </w:p>
    <w:p>
      <w:pPr>
        <w:pStyle w:val="BodyText"/>
        <w:rPr/>
      </w:pPr>
      <w:r>
        <w:rPr/>
        <w:t xml:space="preserve">The Commission determined at its July 12, 2000 Open Meeting that QFs should participate in the market in a manner similar to other generators.  Thus, this is a decided issue for full market operations and should not be taken up in this proceeding.  During the Pilot program it is anticipated that most QFs will remain under a utility tariff and conduct sales as they have done in the past.  For a QF to make “as available” sales without scheduling to the utility QSE during the Pilot, the QF will have to be a customer of the QSE.  This procedure is no different than that of today’s market whereby the QF must be in the utility’s control area.  If, however, the QF is not a customer of the utility’s QSE, then there could be a QSE-to-QSE schedule.  However, the QSE serving the QF would bear all scheduling penalties; not the QSE purchasing under the tariff.  </w:t>
      </w:r>
    </w:p>
    <w:p>
      <w:pPr>
        <w:pStyle w:val="BlockText"/>
        <w:numPr>
          <w:ilvl w:val="0"/>
          <w:numId w:val="3"/>
        </w:numPr>
        <w:rPr/>
      </w:pPr>
      <w:r>
        <w:rPr/>
        <w:t xml:space="preserve">The ancillary market does not provide energy prices for “reserved” capacity ahead of time – does this discourage resource participation?   </w:t>
      </w:r>
    </w:p>
    <w:p>
      <w:pPr>
        <w:pStyle w:val="BodyText"/>
        <w:rPr>
          <w:b/>
        </w:rPr>
      </w:pPr>
      <w:r>
        <w:rPr/>
        <w:t>This issue has already been addressed and considered during the Protocol drafting process.  Ancillary services are a reliability service.  If bids for those services were triggered based on earlier posted energy prices then providers would be inclined to hold out on bids until they found a favorable energy price and the ancillary services market would not be served.  The bidding process for the different reserves in the ancillary services market should sufficiently address the pricing of all reserve requirements in the market.</w:t>
      </w:r>
    </w:p>
    <w:p>
      <w:pPr>
        <w:pStyle w:val="BlockText"/>
        <w:numPr>
          <w:ilvl w:val="0"/>
          <w:numId w:val="3"/>
        </w:numPr>
        <w:rPr/>
      </w:pPr>
      <w:r>
        <w:rPr/>
        <w:t xml:space="preserve">Are Replacement Reserves an unnecessary subsidy for generators owning inefficient units and will these Reserves artificially depress the balancing energy market and deter new entrants into the market?  </w:t>
      </w:r>
    </w:p>
    <w:p>
      <w:pPr>
        <w:pStyle w:val="BodyText"/>
        <w:rPr>
          <w:b/>
        </w:rPr>
      </w:pPr>
      <w:r>
        <w:rPr/>
        <w:t>This issue has already been addressed numerous times during the Protocol drafting process. No subsidy is being provided.  The market selects providers based on bids.  Every resource takes market risks with its bids.  Because there are efficient resources to bid this service in lieu of inefficient resources Dynegy’s concern lacks merit.  In addition, Replacement reserves are an optional purchase for ERCOT and their purchase provides incentives for QSEs to schedule properly.</w:t>
      </w:r>
    </w:p>
    <w:p>
      <w:pPr>
        <w:pStyle w:val="BlockText"/>
        <w:numPr>
          <w:ilvl w:val="0"/>
          <w:numId w:val="3"/>
        </w:numPr>
        <w:rPr/>
      </w:pPr>
      <w:r>
        <w:rPr/>
        <w:t xml:space="preserve">Should ERCOT include the “responsibility transfer” capability that will allow the small players to achieve similar portfolio benefits to the larger IOUs without the need to enter into burdensome business arrangements?  Should capacity auction products be accommodated?  </w:t>
      </w:r>
    </w:p>
    <w:p>
      <w:pPr>
        <w:pStyle w:val="BodyText"/>
        <w:rPr>
          <w:b/>
        </w:rPr>
      </w:pPr>
      <w:r>
        <w:rPr/>
        <w:t xml:space="preserve">The Stakeholders identified this issue in PIP #151 and determined that the responsibility transfer was required by market open and should be functional in the ERCOT system software by market open.  The ERCOT system is currently not designed to accommodate responsibility transfer capability.  However, responsibility transfers are necessary for the capacity auction participants to maximize the value of the capacity auction entitlement.  Without the responsibility transfer, the entitlement holder would not have control over the slice of system capacity awarded through the entitlement and so cannot fully participate in the ancillary services market.  For the market to work efficiently, this provision, like others identified as Phase I or Phase II PIP items, needs to be in place by January 1, 2002.  </w:t>
      </w:r>
    </w:p>
    <w:p>
      <w:pPr>
        <w:pStyle w:val="BlockText"/>
        <w:numPr>
          <w:ilvl w:val="0"/>
          <w:numId w:val="3"/>
        </w:numPr>
        <w:rPr/>
      </w:pPr>
      <w:r>
        <w:rPr/>
        <w:t xml:space="preserve">Should generators receive explicit compensation for reactive power supply?    </w:t>
      </w:r>
    </w:p>
    <w:p>
      <w:pPr>
        <w:pStyle w:val="BodyText"/>
        <w:rPr/>
      </w:pPr>
      <w:r>
        <w:rPr/>
        <w:t>Generators should be explicitly compensated for the reactive support voltage control service they provide.  But, it is not necessary to have this prior to market opening. Section 6.8.4 (revised by PIP #102) addresses the methodology for doing so.  (</w:t>
      </w:r>
      <w:r>
        <w:rPr>
          <w:i/>
        </w:rPr>
        <w:t>See also</w:t>
      </w:r>
      <w:r>
        <w:rPr/>
        <w:t xml:space="preserve"> Calpine issue above.)</w:t>
      </w:r>
    </w:p>
    <w:p>
      <w:pPr>
        <w:pStyle w:val="Heading3"/>
        <w:rPr/>
      </w:pPr>
      <w:bookmarkStart w:id="10" w:name="__RefHeading___Toc505133826"/>
      <w:bookmarkEnd w:id="10"/>
      <w:r>
        <w:rPr/>
        <w:t>Enron Issues</w:t>
      </w:r>
    </w:p>
    <w:p>
      <w:pPr>
        <w:pStyle w:val="BlockText"/>
        <w:numPr>
          <w:ilvl w:val="0"/>
          <w:numId w:val="11"/>
        </w:numPr>
        <w:rPr/>
      </w:pPr>
      <w:r>
        <w:rPr/>
        <w:t>In Scheduling, Section 4, the Protocols indicate a requirement for all QSEs to submit mandatory decremental Balancing Energy Service.  Should non-controllable renewable resources be exempt from submitting mandatory decremental Balancing Energy Service bids?</w:t>
      </w:r>
    </w:p>
    <w:p>
      <w:pPr>
        <w:pStyle w:val="BodyText"/>
        <w:rPr>
          <w:b/>
        </w:rPr>
      </w:pPr>
      <w:r>
        <w:rPr/>
        <w:t xml:space="preserve">It is premature to establish additional exemptions now since the mandatory bid requirements are placed on the QSE and not the renewable resource itself.  At this point, the QSE must be able to post decremental bids from its portfolio if ERCOT requests it.  This is particularly important if ERCOT needs to solve congestion.  Also, the degree to which a renewable resource is non-controllable needs to be investigated further before any exemptions are considered.  </w:t>
      </w:r>
    </w:p>
    <w:p>
      <w:pPr>
        <w:pStyle w:val="BlockText"/>
        <w:numPr>
          <w:ilvl w:val="0"/>
          <w:numId w:val="3"/>
        </w:numPr>
        <w:rPr/>
      </w:pPr>
      <w:r>
        <w:rPr/>
        <w:t>In ERCOT’s attempt to manage transmission congestion, ERCOT will post on the MIS the potential congestion megawatt quantity impact on a CSC and hope QSEs will adjust schedules to mitigate the potential congestion.  What price signal will a QSE have associated with the cost of balancing energy on each side of the CSC to compare the costs of the QSE’s realignment versus the costs of being exposed to the market?</w:t>
      </w:r>
    </w:p>
    <w:p>
      <w:pPr>
        <w:pStyle w:val="BodyText"/>
        <w:rPr/>
      </w:pPr>
      <w:r>
        <w:rPr/>
        <w:t>Many price signals will be available to QSEs through the information posted on the ERCOT MIS.  (</w:t>
      </w:r>
      <w:r>
        <w:rPr>
          <w:i/>
        </w:rPr>
        <w:t>See</w:t>
      </w:r>
      <w:r>
        <w:rPr/>
        <w:t xml:space="preserve"> Protocol § 12).  Included will be information regarding the status of the transmission grid and forecasted conditions, CSC limits and MCPs that are close to real-time.  Each market participant is responsible for taking the information made available on the ERCOT MIS and using it as it sees fit to forecast prices.</w:t>
      </w:r>
    </w:p>
    <w:p>
      <w:pPr>
        <w:pStyle w:val="BlockText"/>
        <w:numPr>
          <w:ilvl w:val="0"/>
          <w:numId w:val="3"/>
        </w:numPr>
        <w:rPr/>
      </w:pPr>
      <w:r>
        <w:rPr/>
        <w:t>How promptly will ancillary service bid stacks be posted to the market and is this sufficient timing to establish the actual cost of energy in real time?</w:t>
      </w:r>
    </w:p>
    <w:p>
      <w:pPr>
        <w:pStyle w:val="BodyText"/>
        <w:rPr/>
      </w:pPr>
      <w:r>
        <w:rPr/>
        <w:t>All pricing information is available on the MIS within a sufficient amount of time for market participants to establish their prediction of the actual cost of energy in real time.</w:t>
      </w:r>
    </w:p>
    <w:p>
      <w:pPr>
        <w:pStyle w:val="Heading3"/>
        <w:rPr/>
      </w:pPr>
      <w:bookmarkStart w:id="11" w:name="__RefHeading___Toc505133827"/>
      <w:bookmarkEnd w:id="11"/>
      <w:r>
        <w:rPr/>
        <w:t>FPL Energy Issues</w:t>
      </w:r>
    </w:p>
    <w:p>
      <w:pPr>
        <w:pStyle w:val="BlockText"/>
        <w:numPr>
          <w:ilvl w:val="0"/>
          <w:numId w:val="12"/>
        </w:numPr>
        <w:rPr/>
      </w:pPr>
      <w:r>
        <w:rPr/>
        <w:t xml:space="preserve">Should Section 20 be revised to provide mediation as a matter of right for parties engaged in a dispute and arbitration as the default procedure for parties who have reached an impasse in negotiations?  </w:t>
      </w:r>
    </w:p>
    <w:p>
      <w:pPr>
        <w:pStyle w:val="BodyText"/>
        <w:rPr/>
      </w:pPr>
      <w:r>
        <w:rPr>
          <w:i/>
        </w:rPr>
        <w:t>See</w:t>
      </w:r>
      <w:r>
        <w:rPr/>
        <w:t xml:space="preserve"> Reliant Energy’s response to City of Austin issue #4 above.   </w:t>
      </w:r>
    </w:p>
    <w:p>
      <w:pPr>
        <w:pStyle w:val="BlockText"/>
        <w:numPr>
          <w:ilvl w:val="0"/>
          <w:numId w:val="3"/>
        </w:numPr>
        <w:rPr/>
      </w:pPr>
      <w:r>
        <w:rPr/>
        <w:t>Should Section 20 of the Protocols be revised to provide for (1) mediation as a matter of right for parties engaged in a dispute, (2) arbitration as the default mechanism for parties who have reached an impasse in informal negotiations, and (3) additional procedural protections for disputing parties, including provisions which clarify intervention rights and appellate procedures?</w:t>
      </w:r>
    </w:p>
    <w:p>
      <w:pPr>
        <w:pStyle w:val="BodyText"/>
        <w:rPr/>
      </w:pPr>
      <w:r>
        <w:rPr>
          <w:i/>
        </w:rPr>
        <w:t>See</w:t>
      </w:r>
      <w:r>
        <w:rPr/>
        <w:t xml:space="preserve"> Reliant Energy’s response to City of Austin issue #4 above.  </w:t>
      </w:r>
    </w:p>
    <w:p>
      <w:pPr>
        <w:pStyle w:val="Heading3"/>
        <w:rPr/>
      </w:pPr>
      <w:bookmarkStart w:id="12" w:name="__RefHeading___Toc505133828"/>
      <w:bookmarkEnd w:id="12"/>
      <w:r>
        <w:rPr/>
        <w:t>Independent Marketers Issues</w:t>
      </w:r>
    </w:p>
    <w:p>
      <w:pPr>
        <w:pStyle w:val="BlockText"/>
        <w:numPr>
          <w:ilvl w:val="0"/>
          <w:numId w:val="13"/>
        </w:numPr>
        <w:rPr>
          <w:i w:val="false"/>
          <w:i w:val="false"/>
        </w:rPr>
      </w:pPr>
      <w:r>
        <w:rPr>
          <w:i w:val="false"/>
        </w:rPr>
        <w:t>Dispatch</w:t>
      </w:r>
    </w:p>
    <w:p>
      <w:pPr>
        <w:pStyle w:val="BodyText2"/>
        <w:numPr>
          <w:ilvl w:val="1"/>
          <w:numId w:val="3"/>
        </w:numPr>
        <w:rPr/>
      </w:pPr>
      <w:r>
        <w:rPr/>
        <w:t xml:space="preserve">Should REPs be kept informed through immediate notification by their QSE of emergency situations and short supply operations in order to protect their financial status and inform their customers?  </w:t>
      </w:r>
    </w:p>
    <w:p>
      <w:pPr>
        <w:pStyle w:val="BodyText"/>
        <w:rPr/>
      </w:pPr>
      <w:r>
        <w:rPr/>
        <w:t>A Protocol change is not required.  The Protocols require that QSEs be notified of ERCOT operational emergencies or of an operational status that may cause an electric power supply shortage.  Protocol Sections 5.6.3.-5.6.6.  If REPs also want to be informed of these situations they may contractually require their QSE provide them with that information.</w:t>
      </w:r>
    </w:p>
    <w:p>
      <w:pPr>
        <w:pStyle w:val="BodyText2"/>
        <w:numPr>
          <w:ilvl w:val="1"/>
          <w:numId w:val="3"/>
        </w:numPr>
        <w:rPr/>
      </w:pPr>
      <w:r>
        <w:rPr/>
        <w:t xml:space="preserve">In 5.6.6.1, does the term “larger group of customers” need clarification to ensure the nondiscriminatory restoration of service by the TDSP to the customers?    </w:t>
      </w:r>
    </w:p>
    <w:p>
      <w:pPr>
        <w:pStyle w:val="BodyText"/>
        <w:rPr/>
      </w:pPr>
      <w:r>
        <w:rPr/>
        <w:t xml:space="preserve">This is not a Protocol issue and no clarification or Protocol change is required.  A TDSP’s emergency operations plans for service restoration are part of the “Tariff for Retail Delivery Service” (PUC Subst. R. §25.214) of the Terms and Conditions under Project No. 22187 and are not part of the Protocols.  Except for priorities given to critical care customers and facilities affecting human health, e.g. hospitals and nursing homes, the TDSP’s operation plans for service restoration are developed for quickest restoration of service to the largest number of customers without regard to which Competitive Retailer serves those customers.  </w:t>
      </w:r>
    </w:p>
    <w:p>
      <w:pPr>
        <w:pStyle w:val="BodyText2"/>
        <w:numPr>
          <w:ilvl w:val="1"/>
          <w:numId w:val="3"/>
        </w:numPr>
        <w:rPr/>
      </w:pPr>
      <w:r>
        <w:rPr/>
        <w:t xml:space="preserve">Should section 5.6.7, that refers to load shedding by the TDSP, include nondiscriminatory language?    </w:t>
      </w:r>
    </w:p>
    <w:p>
      <w:pPr>
        <w:pStyle w:val="BodyText"/>
        <w:rPr/>
      </w:pPr>
      <w:r>
        <w:rPr/>
        <w:t xml:space="preserve">This is not a Protocol issue and no Protocol change is required.  A TDSP’s emergency operations plans for load shedding are part of the “Tariff for Retail Delivery Service” (PUC Subst. R. §25.214) of the Terms and Conditions under Project No. 22187 and are not part of ERCOT Protocols.  Except for priorities given to critical care customers and facilities affecting human health, e.g. hospitals and nursing homes, TDSP’s operation plans for load shedding are developed to minimize service interruption for the largest number of customers without regard to which Competitive Retailer serves those customers.  </w:t>
      </w:r>
    </w:p>
    <w:p>
      <w:pPr>
        <w:pStyle w:val="BodyText2"/>
        <w:numPr>
          <w:ilvl w:val="1"/>
          <w:numId w:val="3"/>
        </w:numPr>
        <w:rPr/>
      </w:pPr>
      <w:r>
        <w:rPr/>
        <w:t xml:space="preserve">Should the Protocols recognize the need for TDSPs to file emergency operations plans with the Commission as provided in the Substantive Rules?  </w:t>
      </w:r>
    </w:p>
    <w:p>
      <w:pPr>
        <w:pStyle w:val="BodyText"/>
        <w:rPr/>
      </w:pPr>
      <w:r>
        <w:rPr/>
        <w:t>This is not a Protocol issue and no Protocol change is required.  TDSPs’ emergency operations plans for service restoration are part of the “Tariff for Retail Delivery Service” (PUC Subst. R. §25.214) of the Terms and Conditions under Project 22187 and not part of ERCOT Protocols.  TDSPs’ operation plans for service emergencies are developed without regard to which Competitive Retailer serves those customers.</w:t>
      </w:r>
    </w:p>
    <w:p>
      <w:pPr>
        <w:pStyle w:val="BodyText2"/>
        <w:numPr>
          <w:ilvl w:val="1"/>
          <w:numId w:val="3"/>
        </w:numPr>
        <w:rPr/>
      </w:pPr>
      <w:r>
        <w:rPr/>
        <w:t xml:space="preserve">If the statement in 5.6.8 (“there will be no compensation other than normal settlement methods to loads in the event of Load shedding by the TDSP during EECP”) means that generation is favored over load in the settlement process, should it be stricken?   </w:t>
      </w:r>
    </w:p>
    <w:p>
      <w:pPr>
        <w:pStyle w:val="BodyText"/>
        <w:rPr/>
      </w:pPr>
      <w:r>
        <w:rPr/>
        <w:t xml:space="preserve">Protocol change is not required.  The statement does not state a preference or priority for generation or load shedding during an Emergency Electric Curtailment Plan (“EECP”).  The statement clarifies that during an occurrence of EECP, a TDSP implements load shedding under its emergency operation plans and the QSE will not receive any compensation other than that provided for under the normal and usual settlement process for balancing of generation and loads.  Under the Protocol’s “normal settlement methods,” a generator and a load will be compensated in the same manner.  Both will be paid for the difference between their schedule and their output or their schedule and their consumption.  </w:t>
      </w:r>
    </w:p>
    <w:p>
      <w:pPr>
        <w:pStyle w:val="BlockText"/>
        <w:numPr>
          <w:ilvl w:val="0"/>
          <w:numId w:val="3"/>
        </w:numPr>
        <w:rPr>
          <w:i w:val="false"/>
          <w:i w:val="false"/>
        </w:rPr>
      </w:pPr>
      <w:r>
        <w:rPr>
          <w:i w:val="false"/>
        </w:rPr>
        <w:t>Ancillary Service/Congestion Management</w:t>
      </w:r>
    </w:p>
    <w:p>
      <w:pPr>
        <w:pStyle w:val="BodyText2"/>
        <w:numPr>
          <w:ilvl w:val="1"/>
          <w:numId w:val="3"/>
        </w:numPr>
        <w:rPr/>
      </w:pPr>
      <w:r>
        <w:rPr/>
        <w:t xml:space="preserve">Is the proposed scheme for solving congestion management too complicated and difficult for the REP to predict their costs?  Should all loads bear a pro rata cost from day one or should there be a direct assignment from day one?   </w:t>
      </w:r>
    </w:p>
    <w:p>
      <w:pPr>
        <w:pStyle w:val="BodyText"/>
        <w:rPr>
          <w:b/>
        </w:rPr>
      </w:pPr>
      <w:r>
        <w:rPr/>
        <w:t xml:space="preserve">The method for solving congestion management is an old issue that should not be re-addressed.  During the course of the Stakeholder process many methods for solving congestion were discussed.  After much compromise the Stakeholders decided upon and voted upon a method which includes, among other directives, a $20 million System Congestion Fund, an initial postage stamp allocation for congestion, and a later direct assignment of that allocation for congestion.  The scheme is detailed and requires careful reading but it is not unduly complicated and need not be rewritten.  </w:t>
      </w:r>
    </w:p>
    <w:p>
      <w:pPr>
        <w:pStyle w:val="BodyText2"/>
        <w:numPr>
          <w:ilvl w:val="1"/>
          <w:numId w:val="3"/>
        </w:numPr>
        <w:rPr/>
      </w:pPr>
      <w:r>
        <w:rPr/>
        <w:t xml:space="preserve">Is the treatment of the MOUs and the electric coops with regard to pre-assigned TCRs discriminatory and will it deprive other market participants from purchasing certain TCRs?   </w:t>
      </w:r>
    </w:p>
    <w:p>
      <w:pPr>
        <w:pStyle w:val="BodyText"/>
        <w:rPr/>
      </w:pPr>
      <w:r>
        <w:rPr/>
        <w:t>This is an old issue and should not be subject to discussion in this proceeding.  The treatment of Transmission Congestion Rights (“TCRs”) was a highly debated and thoroughly discussed subject.  The resulting compromise was struck and agreed to by the Stakeholders and should be upheld.  Although the compromise does remove some of the TCRs from the market, the amount is insignificant compared to the total seen in other regional ISOs.</w:t>
      </w:r>
    </w:p>
    <w:p>
      <w:pPr>
        <w:pStyle w:val="BlockText"/>
        <w:numPr>
          <w:ilvl w:val="0"/>
          <w:numId w:val="3"/>
        </w:numPr>
        <w:rPr/>
      </w:pPr>
      <w:r>
        <w:rPr/>
        <w:t>Settlement and Billing</w:t>
      </w:r>
    </w:p>
    <w:p>
      <w:pPr>
        <w:pStyle w:val="BodyText2"/>
        <w:numPr>
          <w:ilvl w:val="1"/>
          <w:numId w:val="3"/>
        </w:numPr>
        <w:spacing w:before="0" w:after="0"/>
        <w:rPr/>
      </w:pPr>
      <w:r>
        <w:rPr/>
        <w:t xml:space="preserve">Are the provisions that allow ERCOT to collect monies from QSEs (and the REPs they represent) that are not responsible for a short pay to ERCOT, on a load ratio share basis, to cover the shorting QSE unfair and will these provisions incite short payments?    </w:t>
      </w:r>
    </w:p>
    <w:p>
      <w:pPr>
        <w:pStyle w:val="BodyText2"/>
        <w:numPr>
          <w:ilvl w:val="0"/>
          <w:numId w:val="0"/>
        </w:numPr>
        <w:spacing w:before="0" w:after="0"/>
        <w:ind w:hanging="0" w:start="0"/>
        <w:rPr/>
      </w:pPr>
      <w:r>
        <w:rPr/>
      </w:r>
    </w:p>
    <w:p>
      <w:pPr>
        <w:pStyle w:val="BodyText"/>
        <w:rPr/>
      </w:pPr>
      <w:r>
        <w:rPr/>
        <w:t xml:space="preserve">This issue is not new.  The Stakeholders considered this issue, and weighed the various alternatives and reached a conclusion.  While it is not anticipated that ERCOT will experience a short pay situation on a regular basis, it is possible that the situation may arise.  Since ERCOT is a revenue neutral entity, ERCOT is not equipped to fund the short pay.  Market participants discussed many alternatives to the possibility of short paying the market, including requiring ERCOT to maintain a working cash account for short pays. However, all those alternatives ultimately cost the consumer through a higher ERCOT administrative fee.  </w:t>
      </w:r>
    </w:p>
    <w:p>
      <w:pPr>
        <w:pStyle w:val="BodyText"/>
        <w:rPr/>
      </w:pPr>
      <w:r>
        <w:rPr/>
        <w:t>The Stakeholders designed the Protocols to allow ERCOT to pursue the short paying QSE’s financial security before the QSE short pays the market.  Protocol Section 9.4.4.  Contrary to the Independent Marketers’ suggestion, there is no incentive for a QSE to short pay since the Protocols call for the posting of additional security in the event of late payments by a QSE.  Protocol Section 9.4.5.  Every effort has been made in the Protocols to reduce the possibility of a short pay situation and to reduce any incentive a QSE might have for creating a short pay situation.  However, if there is a short pay to the market, then the assignment of the short pay on a load ratio share basis to all other QSEs is the only equitable basis ERCOT has of distributing the short pay and remaining revenue neutral.</w:t>
      </w:r>
    </w:p>
    <w:p>
      <w:pPr>
        <w:pStyle w:val="BodyText2"/>
        <w:numPr>
          <w:ilvl w:val="1"/>
          <w:numId w:val="3"/>
        </w:numPr>
        <w:rPr/>
      </w:pPr>
      <w:r>
        <w:rPr/>
        <w:t xml:space="preserve">Is the allocation of other costs to REPs on a load ratio share (rather than generation) basis discriminatory, inequitable and unfair to the REP who has no control over the situation? </w:t>
      </w:r>
    </w:p>
    <w:p>
      <w:pPr>
        <w:pStyle w:val="BodyText"/>
        <w:rPr/>
      </w:pPr>
      <w:r>
        <w:rPr/>
        <w:t>The allocation to REPs of costs associated with ancillary services on a load ratio share basis is both fair and equitable.  The need for ancillary services is caused by load:  generators do not need ancillary services.  Load customers need electricity on immediate demand. Therefore, adequate generation resources must be available at all times.  Ancillary services provide insurance to the load customers that the electricity will be available.  Distributing these costs on a load ratio share basis simply assigns the cost to the entities that create the need for the service.  The assignment of “uplift” type charges such as those for congestion management, Unaccounted for Energy (“UFE”), and ERCOT administrative fee, on a load ratio share basis to REPs is also fair and equitable.  These costs will ultimately be borne by the consumer either through a direct allocation or indirectly through the price of energy and ancillary services charged by the generators to the REPs.  To ensure that these charges are not unreasonable, the PUC will have market oversight responsibility.</w:t>
      </w:r>
    </w:p>
    <w:p>
      <w:pPr>
        <w:pStyle w:val="BodyText2"/>
        <w:numPr>
          <w:ilvl w:val="1"/>
          <w:numId w:val="3"/>
        </w:numPr>
        <w:rPr/>
      </w:pPr>
      <w:r>
        <w:rPr/>
        <w:t xml:space="preserve">Should the Commission have oversight with regard to ERCOT administrative fees?  </w:t>
      </w:r>
    </w:p>
    <w:p>
      <w:pPr>
        <w:pStyle w:val="BodyText"/>
        <w:rPr/>
      </w:pPr>
      <w:r>
        <w:rPr/>
        <w:t>This is not a Protocol issue; the Commission does have oversight responsibility.  ERCOT must receive Commission approval for any changes in its fees pursuant to PUC Subst. R. §25.192(f).  ERCOT is currently seeking that approval in Docket No. 23320.</w:t>
      </w:r>
    </w:p>
    <w:p>
      <w:pPr>
        <w:pStyle w:val="BodyText2"/>
        <w:numPr>
          <w:ilvl w:val="1"/>
          <w:numId w:val="3"/>
        </w:numPr>
        <w:rPr/>
      </w:pPr>
      <w:r>
        <w:rPr/>
        <w:t xml:space="preserve">Is the 10-day limit to dispute an ERCOT statement or invoice too short if it is indeed a mandatory deadline?   </w:t>
      </w:r>
    </w:p>
    <w:p>
      <w:pPr>
        <w:pStyle w:val="BodyText"/>
        <w:rPr/>
      </w:pPr>
      <w:r>
        <w:rPr/>
        <w:t xml:space="preserve">This is not an issue that needs to be addressed before the market opens.  While the 10-day limit is a mandatory deadline, the filing party may proceed with the ADR procedure if its dispute is denied.  Furthermore, the same 10-day limit is imposed on ERCOT to deliver information back to the participant.  The limit was agreed to as acceptable in the Stakeholder process.  Any change in this procedure should go through the Protocol change process. </w:t>
      </w:r>
    </w:p>
    <w:p>
      <w:pPr>
        <w:pStyle w:val="BodyText2"/>
        <w:numPr>
          <w:ilvl w:val="1"/>
          <w:numId w:val="3"/>
        </w:numPr>
        <w:rPr/>
      </w:pPr>
      <w:r>
        <w:rPr/>
        <w:t xml:space="preserve">Should the word “proven” in 9.5.5 be changed to “alleged” with regard to disputes against ERCOT operational decisions or market rules?  </w:t>
      </w:r>
    </w:p>
    <w:p>
      <w:pPr>
        <w:pStyle w:val="BodyText"/>
        <w:rPr/>
      </w:pPr>
      <w:r>
        <w:rPr/>
        <w:t xml:space="preserve">The language was drafted to give ERCOT latitude to make operational decisions or market rules without the threat that those decisions would lead to frequent disputes over settlement statements and invoices based merely on allegations that ERCOT’s decisions violated the Protocols.  If after the market opens it is determined that the language should be changed, the Protocol change process is the appropriate method. </w:t>
      </w:r>
    </w:p>
    <w:p>
      <w:pPr>
        <w:pStyle w:val="BodyText2"/>
        <w:numPr>
          <w:ilvl w:val="1"/>
          <w:numId w:val="3"/>
        </w:numPr>
        <w:rPr/>
      </w:pPr>
      <w:r>
        <w:rPr/>
        <w:t xml:space="preserve">Do the settlement dispute sections need clarification to include REPs as entities who may take action in the settlement process by initiating or pursuing disputes?  </w:t>
      </w:r>
    </w:p>
    <w:p>
      <w:pPr>
        <w:pStyle w:val="BodyText"/>
        <w:rPr/>
      </w:pPr>
      <w:r>
        <w:rPr/>
        <w:t>Section 9.5.1 of the Protocols states that a Statement Recipient or an Invoice Recipient is responsible for initiating a dispute.  The Protocols intend that only the party financially responsible for settlement with ERCOT be allowed to initiate a dispute.  Since a REP must be represented by a QSE, the QSE would initiate the dispute on behalf of the REP.  Also, if a QSE has contractual obligations with more than one REP, the dispute that any given REP has with a settlement statement may be with the QSE rather than ERCOT.  It is not the intent of the Protocols that ERCOT be involved in settlement disputes between a REP and QSE.  The Commission should not revisit this issue.</w:t>
      </w:r>
    </w:p>
    <w:p>
      <w:pPr>
        <w:pStyle w:val="BodyText2"/>
        <w:numPr>
          <w:ilvl w:val="1"/>
          <w:numId w:val="3"/>
        </w:numPr>
        <w:rPr/>
      </w:pPr>
      <w:r>
        <w:rPr/>
        <w:t xml:space="preserve">How should the transmission billing determinant calculations be made consistent with the pending UCOS dockets?  </w:t>
      </w:r>
    </w:p>
    <w:p>
      <w:pPr>
        <w:pStyle w:val="BodyText"/>
        <w:rPr/>
      </w:pPr>
      <w:r>
        <w:rPr/>
        <w:t xml:space="preserve">This is a not a Protocol issue but rather should be addressed in the individual tariff and transmission rule (PUC Project No. 23157), which was initiated to revise the Transmission Rule.  That proceeding may solve some of the discrepancies of concern to the Independent Marketers.  </w:t>
      </w:r>
    </w:p>
    <w:p>
      <w:pPr>
        <w:pStyle w:val="BlockText"/>
        <w:numPr>
          <w:ilvl w:val="0"/>
          <w:numId w:val="3"/>
        </w:numPr>
        <w:rPr>
          <w:i w:val="false"/>
          <w:i w:val="false"/>
        </w:rPr>
      </w:pPr>
      <w:r>
        <w:rPr>
          <w:i w:val="false"/>
        </w:rPr>
        <w:t>Market Information System</w:t>
      </w:r>
    </w:p>
    <w:p>
      <w:pPr>
        <w:pStyle w:val="BodyText2"/>
        <w:numPr>
          <w:ilvl w:val="1"/>
          <w:numId w:val="3"/>
        </w:numPr>
        <w:rPr/>
      </w:pPr>
      <w:r>
        <w:rPr/>
        <w:t xml:space="preserve">Should ERCOT use “push” rather than “pull” technology to transfer information to and from ERCOT and market participants?  </w:t>
      </w:r>
    </w:p>
    <w:p>
      <w:pPr>
        <w:pStyle w:val="BodyText"/>
        <w:rPr>
          <w:b/>
        </w:rPr>
      </w:pPr>
      <w:r>
        <w:rPr/>
        <w:t>Reliant Energy believes the use of “push” rather than “pull” technology should be mandatory between all market participants.  This change should be made prior to market open if possible.  For more detailed information, see the discussion below at Reliant Energy 1.</w:t>
      </w:r>
    </w:p>
    <w:p>
      <w:pPr>
        <w:pStyle w:val="BodyText2"/>
        <w:numPr>
          <w:ilvl w:val="1"/>
          <w:numId w:val="3"/>
        </w:numPr>
        <w:rPr/>
      </w:pPr>
      <w:r>
        <w:rPr/>
        <w:t xml:space="preserve">Should the ERCOT registered agent maintain an Internet-based database of the premise usage and interval demand data obtained in the settlement process for REP access if authorized by the customer?   </w:t>
      </w:r>
    </w:p>
    <w:p>
      <w:pPr>
        <w:pStyle w:val="BodyText"/>
        <w:rPr/>
      </w:pPr>
      <w:r>
        <w:rPr/>
        <w:t>It is unnecessary and inappropriate for the ERCOT registered agent to maintain this data.  A Protocol change is not required.  The originating metering party should be responsible for maintaining and responding to inquiries for premise usage and interval demand data.  In addition, ERCOT does not have a database of non-ERCOT premise usage and interval demand data and thus could not be a single source of such information.  Finally, when metering becomes competitive in the future, it is likely that the meter data management agent (metering party) will be responsible for maintaining and responding to authorized inquiries for historical metering data.</w:t>
      </w:r>
    </w:p>
    <w:p>
      <w:pPr>
        <w:pStyle w:val="BlockText"/>
        <w:numPr>
          <w:ilvl w:val="0"/>
          <w:numId w:val="3"/>
        </w:numPr>
        <w:rPr>
          <w:i w:val="false"/>
          <w:i w:val="false"/>
        </w:rPr>
      </w:pPr>
      <w:r>
        <w:rPr>
          <w:i w:val="false"/>
        </w:rPr>
        <w:t>Customer Registration</w:t>
      </w:r>
    </w:p>
    <w:p>
      <w:pPr>
        <w:pStyle w:val="BodyText2"/>
        <w:numPr>
          <w:ilvl w:val="1"/>
          <w:numId w:val="3"/>
        </w:numPr>
        <w:tabs>
          <w:tab w:val="clear" w:pos="720"/>
        </w:tabs>
        <w:rPr/>
      </w:pPr>
      <w:r>
        <w:rPr/>
        <w:t xml:space="preserve">Do REPs need a “no later than” deadline to know when their customers will begin obtaining service from them?   </w:t>
      </w:r>
    </w:p>
    <w:p>
      <w:pPr>
        <w:pStyle w:val="BodyText"/>
        <w:rPr/>
      </w:pPr>
      <w:r>
        <w:rPr/>
        <w:t>REPs (“CRs”) do not need a “no later than” deadline in the Protocols.  A Protocol change is not required.  The TDSPs should be publishing or posting on a web site the meter read cycles for all their customers.  This information together with the prescribed process timelines in the Registration Protocol (Section 15), Customer Protection Rule (PUC Subst. R. §25.475) and the “Tariff for Retail Delivery Service” (PUC Subst. R. §25.214) of the statewide Terms and Conditions should provide a REP with sufficient information to know when its customers will begin obtaining service.</w:t>
      </w:r>
    </w:p>
    <w:p>
      <w:pPr>
        <w:pStyle w:val="BodyText2"/>
        <w:numPr>
          <w:ilvl w:val="1"/>
          <w:numId w:val="3"/>
        </w:numPr>
        <w:tabs>
          <w:tab w:val="clear" w:pos="720"/>
        </w:tabs>
        <w:rPr/>
      </w:pPr>
      <w:r>
        <w:rPr/>
        <w:t xml:space="preserve">Should out of cycle meter reads by TDSP in a switch process be changed from two (2) to one (1) business day?  </w:t>
      </w:r>
    </w:p>
    <w:p>
      <w:pPr>
        <w:pStyle w:val="BodyText"/>
        <w:rPr/>
      </w:pPr>
      <w:r>
        <w:rPr/>
        <w:t>A Protocol change is not required.  This issue is covered by the PUC Rules. Section §25.475(j)(3) of the Customer Protection Rules states that the TDSP is “to implement the switch effective with the customer’s next meter read provided that such meter reading is at least one business day after the TDSP receives notice of the switch request or such other date as requested by the customer or the REP.”  PUC Subst. R. §25.475(j)(3).  This rule means that the TDSP has a minimum of one business day to perform a meter read (normal or out-of-cycle) to process a customer switch from the time the TDSP receives notice from the Registration Agent.  If the next scheduled meter read is too far out to suit the customer’s switch needs, the customer and his competitive retailer may request a special meter read at an earlier date.</w:t>
      </w:r>
    </w:p>
    <w:p>
      <w:pPr>
        <w:pStyle w:val="BodyText2"/>
        <w:numPr>
          <w:ilvl w:val="1"/>
          <w:numId w:val="3"/>
        </w:numPr>
        <w:rPr/>
      </w:pPr>
      <w:r>
        <w:rPr/>
        <w:t xml:space="preserve">The TDSP is held largely unaccountable for providing meter related information to ERCOT upon a switch, drop to POLR, or move in or out requests – does this create a risk of a TDSP delay or termination of a request?  </w:t>
      </w:r>
    </w:p>
    <w:p>
      <w:pPr>
        <w:pStyle w:val="BodyText"/>
        <w:rPr/>
      </w:pPr>
      <w:r>
        <w:rPr/>
        <w:t xml:space="preserve">This is not a Protocol issue and a Protocol change is not required.  There is no or very little risk of a TDSP delay or termination of a request.  Under the “Tariff for Retail Delivery Service” (PUC Subst. R. §25.214) of the stateside Terms and Conditions, the TDSP as metering party is required to promptly submit metering information to ERCOT which then transmits the same meter information to the appropriate REP(s).  The appropriate REP(s) for a switch, drop to POLR, move-in or move-out requests include both the old and new REPs.  The old REP will use the meter information as a final meter read and the new REP will use the same information as an initial meter read and confirmation of start of service.  The “Tariff for Retail Delivery Service” (PUC Subst. R. §25.214) of the statewide Terms and Conditions provides a complaint process whereby a party may allege that the TDSP is not performing this task in compliance with the appropriate Protocols.  If a TDSP does not complete its duties within the time frames required by the Protocols, a non-compliance report will be generated and made available by ERCOT to the Commission’s Market Oversight division so that the Commission may take action.  </w:t>
      </w:r>
    </w:p>
    <w:p>
      <w:pPr>
        <w:pStyle w:val="BodyText2"/>
        <w:numPr>
          <w:ilvl w:val="1"/>
          <w:numId w:val="3"/>
        </w:numPr>
        <w:rPr/>
      </w:pPr>
      <w:r>
        <w:rPr/>
        <w:t xml:space="preserve">Should the REP and Commission be notified immediately if the TDSP does not meet deadlines required in this Section?  </w:t>
      </w:r>
    </w:p>
    <w:p>
      <w:pPr>
        <w:pStyle w:val="BodyText"/>
        <w:rPr/>
      </w:pPr>
      <w:r>
        <w:rPr/>
        <w:t xml:space="preserve">Protocol change is not required.  Any party should be free to notify the REP and the Commission if they think that the TDSP is not meeting the deadlines required in any Section of the Protocols; provided such party follows the applicable procedures outlined in the “Tariff for Retail Delivery Service” (PUC Subst. R. §25.214) of the statewide Terms and Conditions and/or Protocols.  The Protocols do not prohibit this notification.  If a TDSP does not complete its duties within the time frames required by the Protocols, a non-compliance report will be generated by ERCOT and made available to the Commission’s Market Oversight Division so that the Commission may take action.  </w:t>
      </w:r>
    </w:p>
    <w:p>
      <w:pPr>
        <w:pStyle w:val="BodyText2"/>
        <w:numPr>
          <w:ilvl w:val="1"/>
          <w:numId w:val="3"/>
        </w:numPr>
        <w:rPr/>
      </w:pPr>
      <w:r>
        <w:rPr/>
        <w:t xml:space="preserve">Should the TDSP process meter information requests and schedule reading meters in a non discriminatory manner?  </w:t>
      </w:r>
    </w:p>
    <w:p>
      <w:pPr>
        <w:pStyle w:val="BodyText"/>
        <w:rPr/>
      </w:pPr>
      <w:r>
        <w:rPr/>
        <w:t>Protocol change is not required.  The TDSP should perform these tasks in a non-discriminatory manner.  Indeed, the “Tariff for Retail Delivery Service” (PUC Subst. R. §25.214) of the statewide Terms and Conditions includes a non-discrimination provision and the TDSP is subject to the Code of Conduct that prohibits the TDSP from giving any advantage to its affiliate or any other market participant.  These provisions also provide for sanctions and penalties if the TDSP does not comply with those requirements.</w:t>
      </w:r>
    </w:p>
    <w:p>
      <w:pPr>
        <w:pStyle w:val="BodyText2"/>
        <w:numPr>
          <w:ilvl w:val="1"/>
          <w:numId w:val="3"/>
        </w:numPr>
        <w:rPr/>
      </w:pPr>
      <w:r>
        <w:rPr/>
        <w:t xml:space="preserve">Should the 20 business day default language for dropping a switch request be removed (i.e. only the affected REP should be able to drop a switch request)?   </w:t>
      </w:r>
    </w:p>
    <w:p>
      <w:pPr>
        <w:pStyle w:val="BodyText"/>
        <w:rPr/>
      </w:pPr>
      <w:r>
        <w:rPr/>
        <w:t xml:space="preserve">A Protocol change is not required.  There is no need to modify the 20 day time period.  The Registration group reached a consensus that the Registration Agent was not to have open-ended process and that if any party failed to perform their responsibility within 20-business days the switch request would be terminated.  If a TDSP does not complete its duties within the time frames required by the Protocols, a non-compliance report will be generated and made available to the Commission’s Market Oversight Division so that the Commission may take action.  </w:t>
      </w:r>
    </w:p>
    <w:p>
      <w:pPr>
        <w:pStyle w:val="BlockText"/>
        <w:numPr>
          <w:ilvl w:val="0"/>
          <w:numId w:val="3"/>
        </w:numPr>
        <w:rPr>
          <w:i w:val="false"/>
          <w:i w:val="false"/>
        </w:rPr>
      </w:pPr>
      <w:r>
        <w:rPr>
          <w:i w:val="false"/>
        </w:rPr>
        <w:t>Load Profiling</w:t>
      </w:r>
    </w:p>
    <w:p>
      <w:pPr>
        <w:pStyle w:val="BodyText2"/>
        <w:numPr>
          <w:ilvl w:val="1"/>
          <w:numId w:val="3"/>
        </w:numPr>
        <w:rPr/>
      </w:pPr>
      <w:r>
        <w:rPr/>
        <w:t xml:space="preserve">Should the language in 18.4.4.4.1 be changed to state that a TDSP must change the assignment of a load profile based on an outcome in a dispute in favor of the REP?  </w:t>
      </w:r>
    </w:p>
    <w:p>
      <w:pPr>
        <w:pStyle w:val="BodyText"/>
        <w:rPr/>
      </w:pPr>
      <w:r>
        <w:rPr/>
        <w:t>It is reasonable to expect a TDSP to change a load profile assignment based on the outcome of a dispute.  The Protocol language could be strengthened on this point through the Protocol change process.   It is, however, unnecessary to make that change before the market opens.</w:t>
      </w:r>
    </w:p>
    <w:p>
      <w:pPr>
        <w:pStyle w:val="BodyText2"/>
        <w:numPr>
          <w:ilvl w:val="1"/>
          <w:numId w:val="3"/>
        </w:numPr>
        <w:rPr/>
      </w:pPr>
      <w:r>
        <w:rPr/>
        <w:t xml:space="preserve">Is the two year limit to provide load profile data to market participants justified since load profiling will continue after the two years?  [If it is rolling, needs to be clarified.]    </w:t>
      </w:r>
    </w:p>
    <w:p>
      <w:pPr>
        <w:pStyle w:val="BodyText"/>
        <w:rPr/>
      </w:pPr>
      <w:r>
        <w:rPr/>
        <w:t>ERCOT produces daily load profiles based on temperature.  The daily load profiles will then be stored for a two-year period.  The Protocol language at Section 18.3.3 is not meant to imply that this data will only be available for the first two years following market open.  All of the daily load profiles will be stored on a rolling two-year basis.  Clarification of the Protocol language may be needed and can be accomplished later through the Protocol change process.</w:t>
      </w:r>
    </w:p>
    <w:p>
      <w:pPr>
        <w:pStyle w:val="BodyText2"/>
        <w:numPr>
          <w:ilvl w:val="1"/>
          <w:numId w:val="3"/>
        </w:numPr>
        <w:rPr/>
      </w:pPr>
      <w:r>
        <w:rPr/>
        <w:t xml:space="preserve">Should the TDSP be required to take steps necessary to effectuate a REP’s request for TOU schedules (not merely “can be developed”) and should such schedules be processed in a nondiscriminatory manner?  </w:t>
      </w:r>
    </w:p>
    <w:p>
      <w:pPr>
        <w:pStyle w:val="BodyText"/>
        <w:rPr/>
      </w:pPr>
      <w:r>
        <w:rPr/>
        <w:t>The Protocols state that TDSPs with existing Time of Use (“TOU”) tariffs prior to December 31, 2000 will be able to offer the TOU schedules associated with those tariffs and that additional TOU schedules can be developed based upon an agreement between the TDSP and the requesting Competitive Retailer.  Protocol Section 18.7.1.4.  Most TDSPs are not currently equipped to handle a large volume of TOU requests.  Reliant Energy agrees with TXU Electric Company that it is important to maintain “the proper balance between the needs of retail electric providers and the costs and practical considerations faced by distribution utilities in complying with the requirements of the Protocols”.  TXU Reply to the Issues Raised by Other Parties at 5.  It is not, however, necessary at this time to change the Protocols to put additional burden on the TDSPs for the development of TOU schedules.</w:t>
      </w:r>
    </w:p>
    <w:p>
      <w:pPr>
        <w:pStyle w:val="BodyText2"/>
        <w:numPr>
          <w:ilvl w:val="1"/>
          <w:numId w:val="3"/>
        </w:numPr>
        <w:rPr/>
      </w:pPr>
      <w:r>
        <w:rPr/>
        <w:t xml:space="preserve">Should more explanation be provided for the rationale and sanction behind prohibiting a REP to discover the location and identity of sampled premises used to develop a load profile for the REPs’ direct load control programs or a REP’s failure to notify ERCOT of such?  </w:t>
      </w:r>
    </w:p>
    <w:p>
      <w:pPr>
        <w:pStyle w:val="BodyText"/>
        <w:rPr>
          <w:b/>
        </w:rPr>
      </w:pPr>
      <w:r>
        <w:rPr/>
        <w:t>Protocol change is not required.  This matter is addressed by PIP #106 which revises Protocol Sections 18.7.2; 6.3.2(4); 18.2.1(7) and 18.2.10.  With the addition of those revised Sections, no further explanation is required in the Protocols.  Typically, the identity of sources sampled for load profile development information is restricted in order to maintain the integrity of the load profile.</w:t>
      </w:r>
    </w:p>
    <w:p>
      <w:pPr>
        <w:pStyle w:val="BlockText"/>
        <w:numPr>
          <w:ilvl w:val="0"/>
          <w:numId w:val="3"/>
        </w:numPr>
        <w:rPr/>
      </w:pPr>
      <w:r>
        <w:rPr/>
        <w:t>How will future changes (boxed text in the current draft of the Protocols) be implemented?  Who makes the decision of how and when to implement?  How will ERCOT provide notice of the implementation date?</w:t>
      </w:r>
    </w:p>
    <w:p>
      <w:pPr>
        <w:pStyle w:val="BodyText"/>
        <w:rPr/>
      </w:pPr>
      <w:r>
        <w:rPr/>
        <w:t>When the vendor notifies ERCOT that the system design has been modified ERCOT will then proceed through the PCP to take the language “out of the box.”  Notification of any Protocol change to be made will be in accordance with the guidelines of Section 21.</w:t>
      </w:r>
    </w:p>
    <w:p>
      <w:pPr>
        <w:pStyle w:val="BlockText"/>
        <w:numPr>
          <w:ilvl w:val="0"/>
          <w:numId w:val="3"/>
        </w:numPr>
        <w:rPr/>
      </w:pPr>
      <w:r>
        <w:rPr/>
        <w:t>Should ERCOT establish, as a high priority, a transaction and monitoring process that imposes the cost of ancillary services procured by ERCOT upon the QSE in default of its obligation to provide those services?  (Section 6)</w:t>
      </w:r>
    </w:p>
    <w:p>
      <w:pPr>
        <w:pStyle w:val="BodyText"/>
        <w:rPr/>
      </w:pPr>
      <w:r>
        <w:rPr/>
        <w:t xml:space="preserve">The Protocol Implementation Working Group had the responsibility of assigning priority to the PIPs and those assignments were then approved by the ERCOT Board.  This issue has been assigned “important” status and the modification is proposed for delivery date in Phase 2, </w:t>
      </w:r>
      <w:r>
        <w:rPr>
          <w:i/>
        </w:rPr>
        <w:t>i.e.</w:t>
      </w:r>
      <w:r>
        <w:rPr/>
        <w:t xml:space="preserve"> by January 1, 2002.  Therefore, it is not an issue that needs to be resolved before market pilot open, but it is in the next most important phase.</w:t>
      </w:r>
    </w:p>
    <w:p>
      <w:pPr>
        <w:pStyle w:val="BlockText"/>
        <w:numPr>
          <w:ilvl w:val="0"/>
          <w:numId w:val="3"/>
        </w:numPr>
        <w:rPr/>
      </w:pPr>
      <w:r>
        <w:rPr/>
        <w:t>Regarding the interim manual switching process, what are the responsibilities and deadlines, if any, imposed to accomplish a timely customer switch? (Section 11)</w:t>
      </w:r>
    </w:p>
    <w:p>
      <w:pPr>
        <w:pStyle w:val="BodyText"/>
        <w:rPr/>
      </w:pPr>
      <w:r>
        <w:rPr/>
        <w:t>The deadlines and the responsibilities for timely switches will not be different from those mandated by the Protocols in Section 15 during the manual process.</w:t>
      </w:r>
    </w:p>
    <w:p>
      <w:pPr>
        <w:pStyle w:val="BlockText"/>
        <w:numPr>
          <w:ilvl w:val="0"/>
          <w:numId w:val="3"/>
        </w:numPr>
        <w:rPr/>
      </w:pPr>
      <w:r>
        <w:rPr/>
        <w:t>What, if any, deadline is imposed on ERCOT in the interim (before the system can handle meter read deadlines) to transmit information critical to a REP’s billing and service obligations? (Section 15)</w:t>
      </w:r>
    </w:p>
    <w:p>
      <w:pPr>
        <w:pStyle w:val="BodyText"/>
        <w:rPr/>
      </w:pPr>
      <w:r>
        <w:rPr/>
        <w:t xml:space="preserve">There is no deadline imposed in the interim.  However, lack of notification will not circumvent the switch.  The vendor has not guaranteed the timing to ERCOT, but this is a PIP issue and has been given an “important” designation to be completed in Phase 1, if a system change is necessary.  </w:t>
      </w:r>
    </w:p>
    <w:p>
      <w:pPr>
        <w:pStyle w:val="BlockText"/>
        <w:numPr>
          <w:ilvl w:val="0"/>
          <w:numId w:val="3"/>
        </w:numPr>
        <w:rPr/>
      </w:pPr>
      <w:r>
        <w:rPr/>
        <w:t>Is 72 hours an adequate time frame for a REP to find a new QSE if the REP’s QSE defaults? (Section 16)</w:t>
      </w:r>
    </w:p>
    <w:p>
      <w:pPr>
        <w:pStyle w:val="BodyText"/>
        <w:rPr/>
      </w:pPr>
      <w:r>
        <w:rPr/>
        <w:t>Yes, this should be an adequate amount of time.  If it is not, the REP may make arrangements with the “default QSE” to continue to schedule for it until the REP finds another more permanent QSE.</w:t>
      </w:r>
    </w:p>
    <w:p>
      <w:pPr>
        <w:pStyle w:val="BlockText"/>
        <w:numPr>
          <w:ilvl w:val="0"/>
          <w:numId w:val="3"/>
        </w:numPr>
        <w:rPr/>
      </w:pPr>
      <w:r>
        <w:rPr/>
        <w:t xml:space="preserve">Should Section 16 of the Protocols and Section 22, Attachment C (Standard Form Qualified Scheduling Entity Agreement) be amended to preclude a QSE from discriminating against non-affiliated market participants and to include provisions ensuring that such discrimination will not occur?  </w:t>
      </w:r>
    </w:p>
    <w:p>
      <w:pPr>
        <w:pStyle w:val="Normal"/>
        <w:rPr/>
      </w:pPr>
      <w:r>
        <w:rPr/>
        <w:tab/>
        <w:tab/>
        <w:t>Reliant Energy reserves the right to respond to this newly added issue in its reply brief.</w:t>
      </w:r>
    </w:p>
    <w:p>
      <w:pPr>
        <w:pStyle w:val="Normal"/>
        <w:rPr/>
      </w:pPr>
      <w:r>
        <w:rPr/>
      </w:r>
    </w:p>
    <w:p>
      <w:pPr>
        <w:pStyle w:val="Heading3"/>
        <w:rPr/>
      </w:pPr>
      <w:bookmarkStart w:id="13" w:name="__RefHeading___Toc505133829"/>
      <w:bookmarkEnd w:id="13"/>
      <w:r>
        <w:rPr/>
        <w:t>Nucor Steel Issues</w:t>
      </w:r>
    </w:p>
    <w:p>
      <w:pPr>
        <w:pStyle w:val="BlockText"/>
        <w:numPr>
          <w:ilvl w:val="0"/>
          <w:numId w:val="14"/>
        </w:numPr>
        <w:rPr/>
      </w:pPr>
      <w:r>
        <w:rPr/>
        <w:t xml:space="preserve">What restrictions (if any) should be placed on interruptible load participation in responsive reserves market?  </w:t>
      </w:r>
    </w:p>
    <w:p>
      <w:pPr>
        <w:pStyle w:val="BodyText"/>
        <w:rPr>
          <w:b/>
        </w:rPr>
      </w:pPr>
      <w:r>
        <w:rPr/>
        <w:t>This is a non-Protocol issue that can best be addressed in the Operating Guides.  No additional restrictions should be imposed at this time.  The ERCOT Technical Advisory Committee (“TAC”) is conducting a study to determine whether the amount of load participating in the market can be changed.  This is a technical issue which can significantly affect reliability.  If any change needs to be made, it will be implemented through the Operating Guides.</w:t>
      </w:r>
    </w:p>
    <w:p>
      <w:pPr>
        <w:pStyle w:val="BlockText"/>
        <w:numPr>
          <w:ilvl w:val="0"/>
          <w:numId w:val="3"/>
        </w:numPr>
        <w:rPr/>
      </w:pPr>
      <w:r>
        <w:rPr/>
        <w:t xml:space="preserve">Is it reasonable to require loads acting as resources in the ancillary market to respond to ERCOT instruction “in a similar manner to generation?”  </w:t>
      </w:r>
    </w:p>
    <w:p>
      <w:pPr>
        <w:pStyle w:val="BodyText"/>
        <w:rPr/>
      </w:pPr>
      <w:r>
        <w:rPr/>
        <w:t>Yes.  If compensation is similar between generation resources and loads acting as resources then the performance requirements should also be similar.  This is addressed in the Protocols and there is no need to re-address this issue prior to market open.</w:t>
      </w:r>
    </w:p>
    <w:p>
      <w:pPr>
        <w:pStyle w:val="BlockText"/>
        <w:numPr>
          <w:ilvl w:val="0"/>
          <w:numId w:val="3"/>
        </w:numPr>
        <w:rPr/>
      </w:pPr>
      <w:r>
        <w:rPr/>
        <w:t xml:space="preserve">Is it reasonable to require loads acting as a resource in the ancillary services market to  respond to “recall” instructions in a manner similar to generation rather than by a slower recall period?        </w:t>
      </w:r>
    </w:p>
    <w:p>
      <w:pPr>
        <w:pStyle w:val="BodyText"/>
        <w:rPr/>
      </w:pPr>
      <w:r>
        <w:rPr/>
        <w:t>Yes.  If compensation is similar between generation resources and loads acting as resources then the performance requirements should also be similar.  This is addressed in the Protocols and there is no need to re-address this issue prior to market open.</w:t>
      </w:r>
    </w:p>
    <w:p>
      <w:pPr>
        <w:pStyle w:val="BlockText"/>
        <w:numPr>
          <w:ilvl w:val="0"/>
          <w:numId w:val="3"/>
        </w:numPr>
        <w:rPr/>
      </w:pPr>
      <w:r>
        <w:rPr/>
        <w:t xml:space="preserve">How should the “baseline” to measure resources provided by loads in A/S markets be established and how should performance be measured?  Is telemetry appropriate?  </w:t>
      </w:r>
    </w:p>
    <w:p>
      <w:pPr>
        <w:pStyle w:val="BodyText"/>
        <w:rPr>
          <w:b/>
        </w:rPr>
      </w:pPr>
      <w:r>
        <w:rPr/>
        <w:t>The real-time telemetry signal establishes the “baseline” to calculate the capacity available.  To qualify for the capacity payment, the host QSE’s balancing energy bids should be at an amount sufficient to cover this capacity.  This is the only reasonable way to measure load at the time of deployment.</w:t>
      </w:r>
    </w:p>
    <w:p>
      <w:pPr>
        <w:pStyle w:val="BlockText"/>
        <w:numPr>
          <w:ilvl w:val="0"/>
          <w:numId w:val="3"/>
        </w:numPr>
        <w:rPr/>
      </w:pPr>
      <w:r>
        <w:rPr/>
        <w:t xml:space="preserve">Are the ancillary service qualification, testing and performance standards too restrictive for loads that cannot guarantee at what level they will operate since they fluctuate from hour to hour or minute to minute?  </w:t>
      </w:r>
    </w:p>
    <w:p>
      <w:pPr>
        <w:pStyle w:val="BodyText"/>
        <w:rPr/>
      </w:pPr>
      <w:r>
        <w:rPr/>
        <w:t>The ancillary services standards are not too restrictive.  Since the compensation for the ancillary services is the same for resources acting as loads as it is for generators, the standard requirements should also be the same. Most of the requirement will be measured at the QSE level and it is anticipated that if both load and generation make up the QSE’s resource portfolio then the qualifications and standards would be achievable.  If a QSE only has loads acting as resource and the standards and qualifications appear impossible to meet then the appropriate action would be a change request through the Protocol change process.  Any changes will probably have to apply to both generator and loads or the compensation mechanisms would also have to be altered if the qualification and standards are relaxed for loads and left unchanged for generators.</w:t>
      </w:r>
    </w:p>
    <w:p>
      <w:pPr>
        <w:pStyle w:val="BlockText"/>
        <w:numPr>
          <w:ilvl w:val="0"/>
          <w:numId w:val="3"/>
        </w:numPr>
        <w:rPr/>
      </w:pPr>
      <w:r>
        <w:rPr/>
        <w:t xml:space="preserve">Should the settlement interval in Section 9 for determining the 4-CP billing determinant for transmission access require hourly demands instead of 15 minute demand intervals?   </w:t>
      </w:r>
    </w:p>
    <w:p>
      <w:pPr>
        <w:pStyle w:val="BodyText"/>
        <w:rPr/>
      </w:pPr>
      <w:r>
        <w:rPr>
          <w:i/>
        </w:rPr>
        <w:t xml:space="preserve">See also </w:t>
      </w:r>
      <w:r>
        <w:rPr/>
        <w:t>discussion above in response to City Public Service of San Antonio #1.  This is not a Protocol issue at this time.  But, if after the conclusion of the Transmission Rule rulemaking in Project No. 23157 there is a conflict between the rule and Protocols it should be addressed in the Protocol change process at that time.</w:t>
      </w:r>
    </w:p>
    <w:p>
      <w:pPr>
        <w:pStyle w:val="BlockText"/>
        <w:numPr>
          <w:ilvl w:val="0"/>
          <w:numId w:val="3"/>
        </w:numPr>
        <w:rPr/>
      </w:pPr>
      <w:r>
        <w:rPr/>
        <w:t xml:space="preserve">Should the Protocols use consistent hourly settlement intervals and not allow for the use of different time intervals for different services?   </w:t>
      </w:r>
    </w:p>
    <w:p>
      <w:pPr>
        <w:pStyle w:val="BodyText"/>
        <w:rPr>
          <w:b/>
        </w:rPr>
      </w:pPr>
      <w:r>
        <w:rPr/>
        <w:t xml:space="preserve">This is not an issue for the Commission to consider in this Docket.  This issue appears to arise from a misinterpretation of the settlement rules.  There are two billing mechanisms in the Protocols.  Energy services are billed on 15 minute intervals and capacity services are billed on an hourly basis.  The only exception is BUL, which is paid for a full hour but which may straddle a clock hour.  </w:t>
      </w:r>
      <w:r>
        <w:rPr>
          <w:i/>
        </w:rPr>
        <w:t>See</w:t>
      </w:r>
      <w:r>
        <w:rPr/>
        <w:t xml:space="preserve"> Section 6.8.1.14 (PIP #112).  This distinction between energy and capacity has always existed in the energy markets.  There is no conflict between Protocol provisions.  </w:t>
      </w:r>
    </w:p>
    <w:p>
      <w:pPr>
        <w:pStyle w:val="BlockText"/>
        <w:numPr>
          <w:ilvl w:val="0"/>
          <w:numId w:val="3"/>
        </w:numPr>
        <w:rPr/>
      </w:pPr>
      <w:r>
        <w:rPr/>
        <w:t xml:space="preserve">Should ERCOT, in a manner similar to RMR procurement, acquire (maintain) instantaneous interruptible resources as a backstop in emergency situations where spinning reserves are not enough?  </w:t>
      </w:r>
    </w:p>
    <w:p>
      <w:pPr>
        <w:pStyle w:val="BodyText"/>
        <w:rPr/>
      </w:pPr>
      <w:r>
        <w:rPr/>
        <w:t xml:space="preserve">ERCOT should not maintain instantaneous interruptible resources a backup.  An RMR resource represents a generating unit(s) that, without the RMR contract, will go into retirement.  The RMR contract sustains the unit’s ability to remain available to be on-line for one year.  An interruptible load will only stay on line as a function of its own economics and no contract could guarantee that the load would be available for a full year (or even less).  Thus there is no guarantee that the load would provide the same level of reliable capacity as a generator. </w:t>
      </w:r>
    </w:p>
    <w:p>
      <w:pPr>
        <w:pStyle w:val="BodyText"/>
        <w:rPr/>
      </w:pPr>
      <w:r>
        <w:rPr/>
        <w:t>Interruptible load resources can enter into bilateral agreements with a QSE whereby the interruptible load offers or bids capacity which in turn can be bid daily as load acting as a resource for Replacement Capacity compensation.</w:t>
      </w:r>
    </w:p>
    <w:p>
      <w:pPr>
        <w:pStyle w:val="BlockText"/>
        <w:numPr>
          <w:ilvl w:val="0"/>
          <w:numId w:val="3"/>
        </w:numPr>
        <w:rPr/>
      </w:pPr>
      <w:r>
        <w:rPr/>
        <w:t xml:space="preserve">Should ERCOT require a long-term load and resource planning process and should it include reserve margin requirements for firm load?  </w:t>
      </w:r>
    </w:p>
    <w:p>
      <w:pPr>
        <w:pStyle w:val="BodyText"/>
        <w:rPr/>
      </w:pPr>
      <w:r>
        <w:rPr/>
        <w:t>This issue is already being addressed by the ERCOT Board and does not need to be incorporated into the Protocols at this time.</w:t>
      </w:r>
    </w:p>
    <w:p>
      <w:pPr>
        <w:pStyle w:val="BlockText"/>
        <w:numPr>
          <w:ilvl w:val="0"/>
          <w:numId w:val="3"/>
        </w:numPr>
        <w:rPr/>
      </w:pPr>
      <w:r>
        <w:rPr/>
        <w:t xml:space="preserve">Add consumers to the list of parties who may request revisions to the Protocols.    </w:t>
      </w:r>
    </w:p>
    <w:p>
      <w:pPr>
        <w:pStyle w:val="BodyText"/>
        <w:rPr/>
      </w:pPr>
      <w:r>
        <w:rPr/>
        <w:t>This issue appears to arise from a misinterpretation of the Protocols.  Consumers meet the requirements of and are included in the group defined in Protocol Section 21.2(5)(a) and (b).</w:t>
      </w:r>
    </w:p>
    <w:p>
      <w:pPr>
        <w:pStyle w:val="BlockText"/>
        <w:numPr>
          <w:ilvl w:val="0"/>
          <w:numId w:val="3"/>
        </w:numPr>
        <w:rPr/>
      </w:pPr>
      <w:r>
        <w:rPr/>
        <w:t xml:space="preserve">Is the BUL appropriately designed and what other special provisions should be adopted for load acting as a resource?  </w:t>
      </w:r>
    </w:p>
    <w:p>
      <w:pPr>
        <w:pStyle w:val="BodyText"/>
        <w:rPr/>
      </w:pPr>
      <w:r>
        <w:rPr/>
        <w:t>The BUL is appropriately designed.  It allows the buyers and sellers to arrive at a mutually agreeable price at which they both value electrical energy.  However, the BUL should not be confused with loads acting as a resource.  A load acting as a resource bids into the day-ahead ancillary services market and, if selected, must have the ability to interrupt load ready for deployment.  If a load bids in as BUL the same load it had previously bid and won as ancillary services, then its BUL bid must be for an amount over and above the amount selected for the ancillary services market.  That excess amount could be selected as BUL.  These two load options are unique to the new ERCOT market and it would be premature to revise these provisions at this time.</w:t>
      </w:r>
    </w:p>
    <w:p>
      <w:pPr>
        <w:pStyle w:val="BlockText"/>
        <w:numPr>
          <w:ilvl w:val="0"/>
          <w:numId w:val="3"/>
        </w:numPr>
        <w:rPr/>
      </w:pPr>
      <w:r>
        <w:rPr/>
        <w:t xml:space="preserve">Is the provision exempting loads (at the request of the QSE) from the performance determination for two hours following a recall of a previously deployed load acting as a resource reasonable and sufficient? </w:t>
      </w:r>
    </w:p>
    <w:p>
      <w:pPr>
        <w:pStyle w:val="BodyText"/>
        <w:rPr/>
      </w:pPr>
      <w:r>
        <w:rPr/>
        <w:t>There should be no special performance exemptions granted to a load acting as a resource unless the same exemption can be given to a generating resource.  If exemptions are provided that result in degradation of the service being provided by the QSE, then the corresponding ancillary services payment should reflect this degradation of service through the appropriate lowering of the payment associated with that service.  If, however, the QSE can respond as required via its portfolio, then the payment to the QSE should remain unaffected.</w:t>
      </w:r>
    </w:p>
    <w:p>
      <w:pPr>
        <w:pStyle w:val="Heading3"/>
        <w:rPr/>
      </w:pPr>
      <w:bookmarkStart w:id="14" w:name="__RefHeading___Toc505133830"/>
      <w:bookmarkEnd w:id="14"/>
      <w:r>
        <w:rPr/>
        <w:t>Reliant Energy Issue</w:t>
      </w:r>
    </w:p>
    <w:p>
      <w:pPr>
        <w:pStyle w:val="BlockText"/>
        <w:numPr>
          <w:ilvl w:val="0"/>
          <w:numId w:val="15"/>
        </w:numPr>
        <w:rPr/>
      </w:pPr>
      <w:r>
        <w:rPr/>
        <w:t xml:space="preserve">What is the impact of decision in Section 12 to use “pull” vs. "push" technology for electrical data transfers between ERCOT and market participants and the File Transfer Protocol-Secured as the Internet transport profile?  (Reliant Energy suggests this can be resolved in the Protocol change procedure.)  </w:t>
      </w:r>
    </w:p>
    <w:p>
      <w:pPr>
        <w:pStyle w:val="BodyText"/>
        <w:rPr>
          <w:b/>
        </w:rPr>
      </w:pPr>
      <w:r>
        <w:rPr/>
        <w:t xml:space="preserve">Protocol changed is required.  Reliant Energy believes the implementation of “push” technology, described below, will reduce system development costs for REPs, ensure accurate secure transmittal of data and provide a standard data transfer platform similar to that provided by other deregulated electric markets across the United States.  “Push” technology represents current “best practice” for the electric and wholesale natural gas industries.  Market participants are, in fact, required by ERCOT to push data to ERCOT for ERCOT’s use.  This is required for many of the same reasons listed above.  Denial of similar benefits to market participants is inefficient and needlessly increases the cost of doing business.  Based on discussed described below, Reliant Energy believes this to be a relatively simple and low cost system change that can be implemented quickly.  Unless ERCOT can demonstrate that there are sufficient economic or other reasons why this system change cannot be made before the market opens, the system change should be made now.  If ERCOT can demonstrate the need to wait, then the change can be made later through the Protocol change process.  </w:t>
      </w:r>
    </w:p>
    <w:p>
      <w:pPr>
        <w:pStyle w:val="BodyText"/>
        <w:rPr/>
      </w:pPr>
      <w:r>
        <w:rPr/>
        <w:t xml:space="preserve">ERCOT Protocol Section 12.2 states that ERCOT’s Market Information System (“MIS”) will post information for market participants.  This means that for market participants to obtain the information they must access the MIS and download or “pull” the information from the MIS posting location.  “Pull” technology requiring the receiving party to pull information from the sending party is antiquated.  The MIS also requires market participants (QSE and TDSP) to provide their information to ERCOT using “push” technology.  ERCOT Protocol Section 15, Customer Registration and the related Section 2.1.2 of ERCOT document “Communicating with ERCOT” indicate that market participants are to use File Transfer Protocol (“FTP”) with Public Key Infrastructure (“PKI”) security for uploading or downloading files with the Transaction by state regulatory agencies. Clearinghouse (Registration Agent).  These documents indicate that ERCOT will use “pull” technology via FTP with PKI when submitting Retail Customer Registration Process information to market participants and that the market participants will use “push” technology via FTP with PKE when market participants send Retail Customer Registration Process information.  Further FTP with PKI will be used for Meter Reading, Settlement Statements and Invoice data exchanges using the same ERCOT “pull” and market participant “push” technology.  </w:t>
      </w:r>
    </w:p>
    <w:p>
      <w:pPr>
        <w:pStyle w:val="BodyText"/>
        <w:rPr/>
      </w:pPr>
      <w:r>
        <w:rPr/>
        <w:t xml:space="preserve">With the advent of the Internet and email, “push” technology requiring the sending party to send information to the receiving party has replaced pull Technology.  The Utility Industry Group (“UIG”) in their white paper “Data Transport Alternatives for Electronic Business Transactions” date June 12. 2000 has recognized  “Push” technology as the better technology stating, “In general terms, our economy and business laws – and electricity meter reading systems – have developed around the “push” system.  …[s]uch approach is far less prone to errors and, for this and other reasons discussed above, should be preferred for EDI.”  To date, for retail electric switch transactions and meter data exchange, “push” technology has been reviewed, approved and implemented by state regulatory agencies in the deregulated electric markets in California, Pennsylvania, New Jersey and Ohio.  </w:t>
      </w:r>
    </w:p>
    <w:p>
      <w:pPr>
        <w:pStyle w:val="BodyText"/>
        <w:rPr/>
      </w:pPr>
      <w:r>
        <w:rPr/>
        <w:t>In addition, FTP with PKI was also rejected in other electric markets due to problems with firewalls (</w:t>
      </w:r>
      <w:r>
        <w:rPr>
          <w:i/>
        </w:rPr>
        <w:t>see</w:t>
      </w:r>
      <w:r>
        <w:rPr/>
        <w:t xml:space="preserve"> IETF’s RFC 1579), substantial EDI file security concerns (user names and password sent in clear without protection), no real-time acknowledgement from receiver, PASV command not support by all FTP servers and documented problems with the use of PKI encryption and related certificates in California.  </w:t>
      </w:r>
    </w:p>
    <w:p>
      <w:pPr>
        <w:pStyle w:val="BodyText"/>
        <w:rPr/>
      </w:pPr>
      <w:r>
        <w:rPr/>
        <w:t>The ERCOT Task Force reviewing  Transport Mechanisms held technical conferences with expert presentations on FTP with PKI and GISB EDM profile.  The group consensus was that there should be one transport mechanism and that GISB EDM over the public Internet is preferred.  ERCOT representatives referenced their “Communications with ERCOT” document and stated a Protocol change would be required before they made any changes.  Several experts agreed that the cost to implement GISB EDM would be the same as for FTP with PKI and the time required to perform such implementation would be less than one week, since the hardware and software to implement either FTP or GISB EDM are virtually the same.  ERCOT has developed its system to use the primary subset of GISB EDM: HTTP (Hyper Text Transfer Protocol) for data exchanges for Transmission information, Schedules, Ancillary Bids and Ancillary Purchases.</w:t>
      </w:r>
    </w:p>
    <w:p>
      <w:pPr>
        <w:pStyle w:val="BodyText"/>
        <w:rPr/>
      </w:pPr>
      <w:r>
        <w:rPr/>
        <w:t>In conclusion, Reliant Energy recommends that ERCOT revise its Protocols and as soon as practicable implement “push” technology using GISB EDM over the public Internet for electronic transaction set file exchange between market participants and ERCOT.</w:t>
      </w:r>
    </w:p>
    <w:p>
      <w:pPr>
        <w:pStyle w:val="Heading3"/>
        <w:rPr/>
      </w:pPr>
      <w:bookmarkStart w:id="15" w:name="__RefHeading___Toc505133831"/>
      <w:bookmarkEnd w:id="15"/>
      <w:r>
        <w:rPr/>
        <w:t>Southern Company Energy Marketing Issues</w:t>
      </w:r>
    </w:p>
    <w:p>
      <w:pPr>
        <w:pStyle w:val="BlockText"/>
        <w:numPr>
          <w:ilvl w:val="0"/>
          <w:numId w:val="16"/>
        </w:numPr>
        <w:rPr/>
      </w:pPr>
      <w:r>
        <w:rPr/>
        <w:t xml:space="preserve">Should there be a formula to compensate Resources for lost opportunities if the Resource has not bid into the market because it is committed to selling into a bilateral or ancillary service market, but responds to ERCOT’s dispatch instructions as a result of a reliability or emergency situation?  </w:t>
      </w:r>
    </w:p>
    <w:p>
      <w:pPr>
        <w:pStyle w:val="BodyText"/>
        <w:rPr/>
      </w:pPr>
      <w:r>
        <w:rPr/>
        <w:t>No.  ERCOT can call on uncommitted resources only during emergencies.  Resource owners should be paid for the resource but should not be paid for theoretical opportunity costs for resources that were not committed.  During non-emergencies, the resource should include opportunity costs in its bids.  A resource that makes the decision to enter into a bilateral agreement rather than bid into the ancillary services market does so with full knowledge of the financial risk with respect to opportunity costs if emergencies arise.</w:t>
      </w:r>
    </w:p>
    <w:p>
      <w:pPr>
        <w:pStyle w:val="BlockText"/>
        <w:numPr>
          <w:ilvl w:val="0"/>
          <w:numId w:val="3"/>
        </w:numPr>
        <w:rPr/>
      </w:pPr>
      <w:r>
        <w:rPr/>
        <w:t xml:space="preserve">Does postage stamp allocation methodology for Congestion Management encourage gaming on behalf of some market participants?  </w:t>
      </w:r>
    </w:p>
    <w:p>
      <w:pPr>
        <w:pStyle w:val="BodyText"/>
        <w:rPr/>
      </w:pPr>
      <w:r>
        <w:rPr/>
        <w:t xml:space="preserve">This issue has already been addressed several times during the Protocol development process.  For commercially significant constraint (“CSC”) congestion, a threshold has been set through the Congestion Management Fund.  If this fund is depleted prematurely then the postage stamp method will be replaced with charge backs to the load that creates the cost.  For local congestion, the postage stamp method will remain until that congestion becomes CSC congestion.  It is the responsibility of ERCOT and the ERCOT Stakeholders to determine when and if a local congestion problem should be redefined as a CSC congestion problem.  </w:t>
      </w:r>
    </w:p>
    <w:p>
      <w:pPr>
        <w:pStyle w:val="BlockText"/>
        <w:numPr>
          <w:ilvl w:val="0"/>
          <w:numId w:val="3"/>
        </w:numPr>
        <w:rPr/>
      </w:pPr>
      <w:r>
        <w:rPr/>
        <w:t xml:space="preserve">Should the ERCOT Board retain an outside firm to establish the creditworthiness standards for market participants that are comparable for all entities in ERCOT?  </w:t>
      </w:r>
    </w:p>
    <w:p>
      <w:pPr>
        <w:pStyle w:val="BodyText"/>
        <w:rPr/>
      </w:pPr>
      <w:r>
        <w:rPr/>
        <w:t>This is not a Protocol issue and should not be addressed in this proceeding.  The process for establishing creditworthiness standards for market participants should be left to the discretion of ERCOT and its Chief Financial Officer.  Reliant Energy agrees that the standards should be comparable for all market participants.</w:t>
      </w:r>
    </w:p>
    <w:p>
      <w:pPr>
        <w:pStyle w:val="BlockText"/>
        <w:numPr>
          <w:ilvl w:val="0"/>
          <w:numId w:val="3"/>
        </w:numPr>
        <w:rPr/>
      </w:pPr>
      <w:r>
        <w:rPr/>
        <w:t xml:space="preserve">Is the Protocol to change Protocols cumbersome and overly prescriptive, especially for non-substantive or minor changes?   </w:t>
      </w:r>
    </w:p>
    <w:p>
      <w:pPr>
        <w:pStyle w:val="BodyText"/>
        <w:rPr/>
      </w:pPr>
      <w:r>
        <w:rPr/>
        <w:t>This is not an issue that needs to be addressed at this time as it does not affect the operation of the market.  There may be merit to selecting a shorter process to make changes that do not materially affect the intent of the Protocols (</w:t>
      </w:r>
      <w:r>
        <w:rPr>
          <w:i/>
        </w:rPr>
        <w:t xml:space="preserve">e.g. </w:t>
      </w:r>
      <w:r>
        <w:rPr/>
        <w:t>typographical changes or non-policy related changes).  However, this change should be approached through the Protocol change process.</w:t>
      </w:r>
    </w:p>
    <w:p>
      <w:pPr>
        <w:pStyle w:val="BlockText"/>
        <w:numPr>
          <w:ilvl w:val="0"/>
          <w:numId w:val="3"/>
        </w:numPr>
        <w:rPr/>
      </w:pPr>
      <w:r>
        <w:rPr/>
        <w:t xml:space="preserve">Should section 8B.(2)(c) of the standard form agreements be revised to delete language providing that ERCOT “in its sole discretion, may agree. . .” to assign a right to a participant to collect refunds from another participant. It should be simply stated that ERCOT makes the assignment?  </w:t>
      </w:r>
    </w:p>
    <w:p>
      <w:pPr>
        <w:pStyle w:val="BodyText"/>
        <w:rPr/>
      </w:pPr>
      <w:r>
        <w:rPr/>
        <w:t xml:space="preserve">This is not an issue that needs to be addressed at this time. This provision was addressed during the drafting process.  The Stakeholders concluded that there may be situations where it is inappropriate for ERCOT to make that assignment, and thus it was left to ERCOT’s discretion.  A change to this provision would be better handled in the Protocol change process.  </w:t>
      </w:r>
      <w:r>
        <w:rPr>
          <w:b/>
        </w:rPr>
        <w:t xml:space="preserve"> </w:t>
      </w:r>
    </w:p>
    <w:p>
      <w:pPr>
        <w:pStyle w:val="BlockText"/>
        <w:numPr>
          <w:ilvl w:val="0"/>
          <w:numId w:val="3"/>
        </w:numPr>
        <w:rPr/>
      </w:pPr>
      <w:r>
        <w:rPr/>
        <w:t xml:space="preserve">In ADR, should both parties agree to the process taken and should parties proceed from informal dispute resolution directly to binding arbitration?  </w:t>
      </w:r>
    </w:p>
    <w:p>
      <w:pPr>
        <w:pStyle w:val="BodyText"/>
        <w:rPr/>
      </w:pPr>
      <w:r>
        <w:rPr>
          <w:i/>
        </w:rPr>
        <w:t>See</w:t>
      </w:r>
      <w:r>
        <w:rPr/>
        <w:t xml:space="preserve"> Reliant Energy’s response to City of Austin issue #4 above.  </w:t>
      </w:r>
    </w:p>
    <w:p>
      <w:pPr>
        <w:pStyle w:val="Heading3"/>
        <w:rPr/>
      </w:pPr>
      <w:bookmarkStart w:id="16" w:name="__RefHeading___Toc505133832"/>
      <w:bookmarkEnd w:id="16"/>
      <w:r>
        <w:rPr/>
        <w:t>South Texas Electric Cooperative Issues</w:t>
      </w:r>
    </w:p>
    <w:p>
      <w:pPr>
        <w:pStyle w:val="BlockText"/>
        <w:numPr>
          <w:ilvl w:val="0"/>
          <w:numId w:val="17"/>
        </w:numPr>
        <w:rPr>
          <w:i w:val="false"/>
          <w:i w:val="false"/>
        </w:rPr>
      </w:pPr>
      <w:r>
        <w:rPr>
          <w:i w:val="false"/>
        </w:rPr>
        <w:t xml:space="preserve">Congestion Management  </w:t>
      </w:r>
    </w:p>
    <w:p>
      <w:pPr>
        <w:pStyle w:val="BodyText2"/>
        <w:numPr>
          <w:ilvl w:val="1"/>
          <w:numId w:val="3"/>
        </w:numPr>
        <w:rPr/>
      </w:pPr>
      <w:r>
        <w:rPr/>
        <w:t xml:space="preserve">Is the application of the $20 million cap on the interim postage stamp allocation method occur during 2001 and is the amount of the cap correct?  </w:t>
      </w:r>
    </w:p>
    <w:p>
      <w:pPr>
        <w:pStyle w:val="BodyText"/>
        <w:rPr/>
      </w:pPr>
      <w:r>
        <w:rPr/>
        <w:t xml:space="preserve">This issue was addressed several times while the Protocols were being drafted.  The cap amount will always be debatable.  The important things that the Stakeholders addressed in the Protocols were to have mechanisms in place to collect the funds and to define what to do when the funds run out.  When the fund is depleted, the zonal cost recovery method will be used to recover costs and the load causing the congestion inside the zone will be burdened with the congestion cost, </w:t>
      </w:r>
      <w:r>
        <w:rPr>
          <w:i/>
        </w:rPr>
        <w:t>i.e.,</w:t>
      </w:r>
      <w:r>
        <w:rPr/>
        <w:t xml:space="preserve"> it will receive a price signal attributable to the congestion.  Or, congestion costs will need to be remedied through the expenditure of capital for new generation or transmission. </w:t>
      </w:r>
    </w:p>
    <w:p>
      <w:pPr>
        <w:pStyle w:val="BodyText2"/>
        <w:numPr>
          <w:ilvl w:val="1"/>
          <w:numId w:val="3"/>
        </w:numPr>
        <w:rPr/>
      </w:pPr>
      <w:r>
        <w:rPr/>
        <w:t xml:space="preserve">Should the automatic switchover from the postage stamp to the zonal methodology using TCRs be contingent upon first determining need for the switchover?  </w:t>
      </w:r>
    </w:p>
    <w:p>
      <w:pPr>
        <w:pStyle w:val="BodyText"/>
        <w:rPr/>
      </w:pPr>
      <w:r>
        <w:rPr/>
        <w:t xml:space="preserve">The switchover from postage stamp to the zonal methodology using TCRs should remain automatic.  The need for the switchover is triggered by either the exhaustion of the Congestion Fund or upon reaching a predetermined date certain.  If the Congestion Fund is not exhausted by the date certain, it is arguable that the switchover is not necessary.  However, this is not an issue that requires modification at this time.  In addition, the Board might agree by affirmative action to use any alternative congestion management method.  </w:t>
      </w:r>
    </w:p>
    <w:p>
      <w:pPr>
        <w:pStyle w:val="BlockText"/>
        <w:numPr>
          <w:ilvl w:val="0"/>
          <w:numId w:val="3"/>
        </w:numPr>
        <w:rPr>
          <w:i w:val="false"/>
          <w:i w:val="false"/>
        </w:rPr>
      </w:pPr>
      <w:r>
        <w:rPr>
          <w:i w:val="false"/>
        </w:rPr>
        <w:t>Balancing Energy</w:t>
      </w:r>
    </w:p>
    <w:p>
      <w:pPr>
        <w:pStyle w:val="BodyText2"/>
        <w:numPr>
          <w:ilvl w:val="1"/>
          <w:numId w:val="3"/>
        </w:numPr>
        <w:rPr/>
      </w:pPr>
      <w:r>
        <w:rPr/>
        <w:t xml:space="preserve">Instead of setting the MCPC the highest bid price in the stack, should loads using the resource pay the average price of the bids, and the resources be paid their bid price?  </w:t>
      </w:r>
    </w:p>
    <w:p>
      <w:pPr>
        <w:pStyle w:val="BodyText"/>
        <w:rPr/>
      </w:pPr>
      <w:r>
        <w:rPr/>
        <w:t xml:space="preserve">No. The Stakeholders discussed the structure and setting of the MCPC during the Protocol drafting process.  The philosophy behind the current structure is to discover the market price of resource capacity and pay all capacity resources accepted on the basis of that price.  In this way, prices will accurately reflect the market.  Moreover, the zonal pricing MCPC is an important generation siting signal provided by the Protocols and is therefore necessary.  To allow for different pricing between load and generation would allow for too many “gaming” opportunities through arbitrage.  </w:t>
      </w:r>
    </w:p>
    <w:p>
      <w:pPr>
        <w:pStyle w:val="BlockText"/>
        <w:numPr>
          <w:ilvl w:val="0"/>
          <w:numId w:val="3"/>
        </w:numPr>
        <w:rPr>
          <w:i w:val="false"/>
          <w:i w:val="false"/>
        </w:rPr>
      </w:pPr>
      <w:r>
        <w:rPr>
          <w:i w:val="false"/>
        </w:rPr>
        <w:t>Profiling</w:t>
      </w:r>
    </w:p>
    <w:p>
      <w:pPr>
        <w:pStyle w:val="BodyText2"/>
        <w:numPr>
          <w:ilvl w:val="1"/>
          <w:numId w:val="3"/>
        </w:numPr>
        <w:rPr/>
      </w:pPr>
      <w:r>
        <w:rPr/>
        <w:t xml:space="preserve">Should two summer residential profiles be established  (the standard one as well as one for customers using 600 KWH or less per month)?  </w:t>
      </w:r>
    </w:p>
    <w:p>
      <w:pPr>
        <w:pStyle w:val="BodyText"/>
        <w:rPr/>
      </w:pPr>
      <w:r>
        <w:rPr/>
        <w:t xml:space="preserve">ERCOT’s load profiling contractor, RER, analyzed the available load research data and found no statistical difference in the profiles of residential customers using less than 600 Kwh versus those using more than 600 Kwh.  Going forward, the Protocols recognize the need for an ongoing evaluation of the load profiles and charge ERCOT with the implementation of an on-going load research program for load profile development.  If those programs indicate the need for a change, it can be accomplished through the Protocol change process.  </w:t>
      </w:r>
    </w:p>
    <w:p>
      <w:pPr>
        <w:pStyle w:val="Heading3"/>
        <w:rPr/>
      </w:pPr>
      <w:bookmarkStart w:id="17" w:name="__RefHeading___Toc505133833"/>
      <w:bookmarkEnd w:id="17"/>
      <w:r>
        <w:rPr/>
        <w:t>Tex-La Issues</w:t>
      </w:r>
    </w:p>
    <w:p>
      <w:pPr>
        <w:pStyle w:val="BlockText"/>
        <w:numPr>
          <w:ilvl w:val="0"/>
          <w:numId w:val="18"/>
        </w:numPr>
        <w:rPr/>
      </w:pPr>
      <w:r>
        <w:rPr/>
        <w:t>Have the mandates of the renewables rule developed in Project 20944 been properly implemented in Section 14 of the Protocols?</w:t>
      </w:r>
    </w:p>
    <w:p>
      <w:pPr>
        <w:pStyle w:val="BodyText"/>
        <w:rPr/>
      </w:pPr>
      <w:r>
        <w:rPr/>
        <w:t>In a Commission Order dated November 6, 2000, ERCOT Protocols Section 14 was severed from the Protocol Docket No. 23220 and transferred to Project No. 22200.  From that point on, no changes were made to this Section without the approval of those PUC staff members who were participating in Project No. 22200.  If Section 14 of the Protocols does not conform to the renewable rules, the sections in conflict should be changed via PCP.</w:t>
      </w:r>
    </w:p>
    <w:p>
      <w:pPr>
        <w:pStyle w:val="BlockText"/>
        <w:numPr>
          <w:ilvl w:val="0"/>
          <w:numId w:val="3"/>
        </w:numPr>
        <w:rPr/>
      </w:pPr>
      <w:r>
        <w:rPr/>
        <w:t>Does Protocol 14 improperly force cooperatives and municipally-owned utilities (“MOUs”) to make business decisions that SB7 otherwise leaves within the exclusive jurisdiction of an MOU’s governing board and a cooperative’s board of directors under PURA Chapters 40 and 41 respectively?</w:t>
      </w:r>
    </w:p>
    <w:p>
      <w:pPr>
        <w:pStyle w:val="BodyText"/>
        <w:rPr/>
      </w:pPr>
      <w:r>
        <w:rPr/>
        <w:t>Protocol 14 follows the language and guidelines adopted in Project No. 22200.  If it is determined that this Section conflicts with Senate Bill 7 because it follows guidelines and language from other Projects that are ultimately found to conflict with Senate Bill 7, the proper way to reconcile the problem is through the Protocol change process.</w:t>
      </w:r>
    </w:p>
    <w:p>
      <w:pPr>
        <w:pStyle w:val="BlockText"/>
        <w:numPr>
          <w:ilvl w:val="0"/>
          <w:numId w:val="3"/>
        </w:numPr>
        <w:rPr/>
      </w:pPr>
      <w:r>
        <w:rPr/>
        <w:t>Does the treatment by ERCOT (in Protocols Section 14) and the PUC Staff (in Project No. 22200) force MOUs and cooperatives to nominate and allocate renewable energy offsets by June 1, 2001, violate the provisions of the renewables rule which recognize that a G&amp;T cooperative and its affiliated cooperative family members can share their renewable energy offsets within the affiliated cooperative family when, and as, those renewable energy offsets are needed by an affected, affiliated cooperative member to satisfy a renewables requirement assessed by the ERCOT ISO?</w:t>
      </w:r>
    </w:p>
    <w:p>
      <w:pPr>
        <w:pStyle w:val="BodyText"/>
        <w:rPr/>
      </w:pPr>
      <w:r>
        <w:rPr/>
        <w:t>Protocol 14 follows the language and guidelines adopted in Project No. 22200.  If it is determined that this Section conflicts with Senate Bill 7 because it follows guidelines and language from other Projects that are ultimately found to conflict with Senate Bill 7, the proper way to reconcile the problem is through the Protocol change process.</w:t>
      </w:r>
    </w:p>
    <w:p>
      <w:pPr>
        <w:pStyle w:val="BlockText"/>
        <w:numPr>
          <w:ilvl w:val="0"/>
          <w:numId w:val="3"/>
        </w:numPr>
        <w:rPr/>
      </w:pPr>
      <w:r>
        <w:rPr/>
        <w:t>Did ERCOT and PUC Staff examine the full and potential impact on G&amp;Ts and their member distribution electric cooperatives during consideration of Project No. 22200 and Section 14 of the ERCOT Protocols?</w:t>
      </w:r>
    </w:p>
    <w:p>
      <w:pPr>
        <w:pStyle w:val="BodyText"/>
        <w:rPr/>
      </w:pPr>
      <w:r>
        <w:rPr/>
        <w:t>This question is best answered by the PUC Staff which severed this Section from the ERCOT Protocol Docket and independently worked on it.  If, however, a change is necessary, it should proceed through the Protocol change process.</w:t>
      </w:r>
    </w:p>
    <w:p>
      <w:pPr>
        <w:pStyle w:val="BlockText"/>
        <w:numPr>
          <w:ilvl w:val="0"/>
          <w:numId w:val="3"/>
        </w:numPr>
        <w:rPr/>
      </w:pPr>
      <w:r>
        <w:rPr/>
        <w:t>Have ERCOT and PUC Staff considered that the existing requirements of Section 14 of the Protocols would force many electric cooperatives to choose between violating existing requirements contracts, and possibly even regulations of the Rural Utilities Service, or violating ERCOT Protocols?</w:t>
      </w:r>
    </w:p>
    <w:p>
      <w:pPr>
        <w:pStyle w:val="BodyText"/>
        <w:ind w:hanging="0" w:end="0"/>
        <w:rPr/>
      </w:pPr>
      <w:r>
        <w:rPr/>
        <w:tab/>
        <w:tab/>
        <w:t>This question is best answered by the PUC Staff which severed this Section from the ERCOT Protocol Docket and independently worked on it.  If, however, a change is necessary, it should proceed through the Protocol change process.</w:t>
      </w:r>
    </w:p>
    <w:p>
      <w:pPr>
        <w:pStyle w:val="Heading3"/>
        <w:rPr/>
      </w:pPr>
      <w:bookmarkStart w:id="18" w:name="__RefHeading___Toc505133834"/>
      <w:bookmarkEnd w:id="18"/>
      <w:r>
        <w:rPr/>
        <w:t>Texas Apartment Association Issues</w:t>
      </w:r>
    </w:p>
    <w:p>
      <w:pPr>
        <w:pStyle w:val="BlockText"/>
        <w:numPr>
          <w:ilvl w:val="0"/>
          <w:numId w:val="19"/>
        </w:numPr>
        <w:rPr/>
      </w:pPr>
      <w:r>
        <w:rPr/>
        <w:t xml:space="preserve">What notice, permission and promptness of transition of electrical services are needed to help the owner maintain the landlord/tenant relationship during move in and move outs and to ensure continuity of service and fairness when electrical providers change?  </w:t>
      </w:r>
    </w:p>
    <w:p>
      <w:pPr>
        <w:pStyle w:val="BodyText"/>
        <w:ind w:firstLine="720" w:end="0"/>
        <w:rPr/>
      </w:pPr>
      <w:r>
        <w:rPr/>
        <w:tab/>
        <w:t xml:space="preserve">No protocol change is required.  ERCOT Protocol Sections 15.1.4.1 - 15.1.5.10 deal with move-in and move-outs and refer to Sections 15.1.6.1 – 15.1.6.5 that set forth provisions for Continuous Service Agreements (“CSA”).  A landlord using a CSA with a Competitive Retailer should be able to ensure continuity of service and fairness when a tenant’s Competitive Retailer changes during a tenant’s move-in or move-out.  </w:t>
      </w:r>
    </w:p>
    <w:p>
      <w:pPr>
        <w:pStyle w:val="Heading3"/>
        <w:rPr/>
      </w:pPr>
      <w:bookmarkStart w:id="19" w:name="__RefHeading___Toc505133835"/>
      <w:bookmarkEnd w:id="19"/>
      <w:r>
        <w:rPr/>
        <w:t>TEC/Brazos Issue</w:t>
      </w:r>
    </w:p>
    <w:p>
      <w:pPr>
        <w:pStyle w:val="BlockText"/>
        <w:numPr>
          <w:ilvl w:val="0"/>
          <w:numId w:val="20"/>
        </w:numPr>
        <w:rPr/>
      </w:pPr>
      <w:r>
        <w:rPr/>
        <w:t>Are the provisions of Section 14 relating to REC offsets inconsistent with the provisions of Substantive Rule §25.173?</w:t>
      </w:r>
    </w:p>
    <w:p>
      <w:pPr>
        <w:pStyle w:val="BodyText"/>
        <w:rPr/>
      </w:pPr>
      <w:r>
        <w:rPr/>
        <w:t>Protocol 14 follows the language and guidelines adopted in Project No. 22200.  If it is determined that this Section conflicts with Substantive Rule §25.173 because it follows guidelines and language from other Projects that are ultimately found to conflict with Substantive Rule §25.173, then the proper way to reconcile the problem is through the Protocol change process.</w:t>
      </w:r>
    </w:p>
    <w:p>
      <w:pPr>
        <w:pStyle w:val="Heading3"/>
        <w:rPr/>
      </w:pPr>
      <w:bookmarkStart w:id="20" w:name="__RefHeading___Toc505133836"/>
      <w:bookmarkEnd w:id="20"/>
      <w:r>
        <w:rPr/>
        <w:t>Texas Industrial Energy Consumers Issues</w:t>
      </w:r>
    </w:p>
    <w:p>
      <w:pPr>
        <w:pStyle w:val="BlockText"/>
        <w:numPr>
          <w:ilvl w:val="0"/>
          <w:numId w:val="21"/>
        </w:numPr>
        <w:rPr/>
      </w:pPr>
      <w:r>
        <w:rPr/>
        <w:t xml:space="preserve">Should testing for loads acting as a resource be required annually and not seasonally as specified in 6.10.2?  </w:t>
      </w:r>
    </w:p>
    <w:p>
      <w:pPr>
        <w:pStyle w:val="BodyText"/>
        <w:rPr/>
      </w:pPr>
      <w:r>
        <w:rPr/>
        <w:t>The schedule for testing loads acting as a resource should not be changed.  Loads are evaluated seasonally without interruption of the load unless the load is being used for the first time as a resource.  Otherwise, the evaluation simply consists of testing the relay function.  An alternative may be to test both loads and generators as needed on an annual or seasonal basis.  Determination of which basis to use for different units would be made based on the variability of the capacity of the unit, and the type of unit it is (i.e. coal fired, nuclear, gas etc.)</w:t>
      </w:r>
    </w:p>
    <w:p>
      <w:pPr>
        <w:pStyle w:val="BlockText"/>
        <w:numPr>
          <w:ilvl w:val="0"/>
          <w:numId w:val="3"/>
        </w:numPr>
        <w:rPr/>
      </w:pPr>
      <w:r>
        <w:rPr/>
        <w:t xml:space="preserve">If a QSE is using load as a resource in its testing for responsive and nonspin reserves, should they have to interrupt the load for such tests or, rather, test the relay system if the load is under the direct control of a NERC certified operation through a SCADA system?   </w:t>
      </w:r>
    </w:p>
    <w:p>
      <w:pPr>
        <w:pStyle w:val="BodyText"/>
        <w:rPr/>
      </w:pPr>
      <w:r>
        <w:rPr/>
        <w:t xml:space="preserve">This issue is premised on a misinterpretation of the Protocols. Section 6.10.2 specifically states, “If the Load is under the direct control of a NERC certified operator via SCADA system, Seasonal evaluation shall consist of a test of the relay function with no actual interruption of Load.”  Also, if being tested for the first time as a resource, the evaluation, with ERCOT approval, may be based on a “simulated trip.” </w:t>
      </w:r>
    </w:p>
    <w:p>
      <w:pPr>
        <w:pStyle w:val="BlockText"/>
        <w:numPr>
          <w:ilvl w:val="0"/>
          <w:numId w:val="3"/>
        </w:numPr>
        <w:rPr/>
      </w:pPr>
      <w:r>
        <w:rPr/>
        <w:t xml:space="preserve">Should the Protocols reflect the stakeholders' position that a resource may request to have its bid for reg up, reg down, responsive and non spin service skipped over if its bid was 50MW or less rather than requiring provision of a proportionate share of that bid?  </w:t>
      </w:r>
    </w:p>
    <w:p>
      <w:pPr>
        <w:pStyle w:val="BodyText"/>
        <w:rPr/>
      </w:pPr>
      <w:r>
        <w:rPr/>
        <w:t>This issue is addressed in the Protocols with the incorporation by PIP #210 of Protocol Sections 6.7.1.11 and 6.7.4(11).  Reliant Energy believes that load participation is critical to establishing a robust market, however, load cannot bid in Regulation Service-Up and Regulation Service-Down</w:t>
      </w:r>
      <w:r>
        <w:rPr>
          <w:rStyle w:val="FootnoteCharacters"/>
          <w:rStyle w:val="FootnoteReference"/>
        </w:rPr>
        <w:footnoteReference w:id="6"/>
      </w:r>
      <w:r>
        <w:rPr/>
        <w:t xml:space="preserve"> Ancillary Service markets.  Therefore, the Company supports the ability of loads acting as a resource to bid in increments of less than 50 MW when necessary as is now provided for in the Protocols.  If after the ERCOT Staff has performed a system analysis there is a demonstrated need for a change to the Protocols, that may be pursued through the Protocol change process.</w:t>
      </w:r>
    </w:p>
    <w:p>
      <w:pPr>
        <w:pStyle w:val="BlockText"/>
        <w:numPr>
          <w:ilvl w:val="0"/>
          <w:numId w:val="3"/>
        </w:numPr>
        <w:rPr/>
      </w:pPr>
      <w:r>
        <w:rPr/>
        <w:t xml:space="preserve">Should there be a 25% cap on loads providing spinning reserves in the Operating Guides?  </w:t>
      </w:r>
    </w:p>
    <w:p>
      <w:pPr>
        <w:pStyle w:val="BodyText"/>
        <w:rPr/>
      </w:pPr>
      <w:r>
        <w:rPr/>
        <w:t>This is an Operating Guide issue, not a Protocol issue. An ERCOT assigned group is working on these guides and the matter should be forwarded to that group.</w:t>
      </w:r>
    </w:p>
    <w:p>
      <w:pPr>
        <w:pStyle w:val="BlockText"/>
        <w:numPr>
          <w:ilvl w:val="0"/>
          <w:numId w:val="3"/>
        </w:numPr>
        <w:rPr/>
      </w:pPr>
      <w:r>
        <w:rPr/>
        <w:t xml:space="preserve">Should the Commission oversee the dollar amount of administrative fees that ERCOT may collect from entities?   </w:t>
      </w:r>
    </w:p>
    <w:p>
      <w:pPr>
        <w:pStyle w:val="BodyText"/>
        <w:rPr/>
      </w:pPr>
      <w:r>
        <w:rPr/>
        <w:t>The PUC does have oversight of these fees pursuant to P.U.C. Subst. R. §25.192(f).  Therefore this is not a Protocol issue and need not be addressed in this proceeding.</w:t>
      </w:r>
    </w:p>
    <w:p>
      <w:pPr>
        <w:pStyle w:val="BlockText"/>
        <w:numPr>
          <w:ilvl w:val="0"/>
          <w:numId w:val="3"/>
        </w:numPr>
        <w:rPr/>
      </w:pPr>
      <w:r>
        <w:rPr/>
        <w:t xml:space="preserve">Will Balancing Up Loads (BUL) be in place for the market opening on January 1, 2002?  Should BUL be better defined/described in the Protocols?  </w:t>
      </w:r>
    </w:p>
    <w:p>
      <w:pPr>
        <w:pStyle w:val="BodyText"/>
        <w:rPr/>
      </w:pPr>
      <w:r>
        <w:rPr/>
        <w:t>ERCOT and the Stakeholders are planning that BUL will be in place for market opening on January 1, 2002.  If once BUL is implemented there appears to be a need for revisions to the BUL provisions, that can be more effectively addressed through the Protocol change process.</w:t>
      </w:r>
    </w:p>
    <w:p>
      <w:pPr>
        <w:pStyle w:val="Heading3"/>
        <w:rPr/>
      </w:pPr>
      <w:bookmarkStart w:id="21" w:name="__RefHeading___Toc505133837"/>
      <w:bookmarkEnd w:id="21"/>
      <w:r>
        <w:rPr/>
        <w:t>Texas Industries, Inc. Issues</w:t>
      </w:r>
    </w:p>
    <w:p>
      <w:pPr>
        <w:pStyle w:val="BlockText"/>
        <w:numPr>
          <w:ilvl w:val="0"/>
          <w:numId w:val="22"/>
        </w:numPr>
        <w:rPr/>
      </w:pPr>
      <w:r>
        <w:rPr/>
        <w:t xml:space="preserve">Is there sufficiency and practical operation of market mechanisms proposed in the Protocols to permit interruptible loads to bid for and provide ancillary services (such as reserves).  </w:t>
      </w:r>
    </w:p>
    <w:p>
      <w:pPr>
        <w:pStyle w:val="BodyText"/>
        <w:rPr/>
      </w:pPr>
      <w:r>
        <w:rPr/>
        <w:t>Yes.  There are currently two market mechanisms.  One is through the day-ahead ancillary services market whereby the load can bid reserves with the corresponding balancing energy bids when and if deployed.</w:t>
      </w:r>
    </w:p>
    <w:p>
      <w:pPr>
        <w:pStyle w:val="BodyText"/>
        <w:rPr/>
      </w:pPr>
      <w:r>
        <w:rPr/>
        <w:t xml:space="preserve">Another mechanism being proposed is through the Balancing Energy Up Load which was incorporated into the Protocols at Section 6 by PIP #112.  Using Balancing Energy Up load, the load can bid into the Balancing Energy market in the same day. </w:t>
      </w:r>
    </w:p>
    <w:p>
      <w:pPr>
        <w:pStyle w:val="BlockText"/>
        <w:numPr>
          <w:ilvl w:val="0"/>
          <w:numId w:val="3"/>
        </w:numPr>
        <w:rPr/>
      </w:pPr>
      <w:r>
        <w:rPr/>
        <w:t xml:space="preserve">Is there an adequate market mechanism in the Protocols to financially compensate interruptible loads for load shedding to relieve transmission line congestion.  </w:t>
      </w:r>
    </w:p>
    <w:p>
      <w:pPr>
        <w:pStyle w:val="BodyText"/>
        <w:rPr/>
      </w:pPr>
      <w:r>
        <w:rPr/>
        <w:t>The Protocols include adequate market mechanisms to compensate interruptible loads for load shedding.  One market mechanism is the day-ahead ancillary services market whereby the load can bid reserves with the corresponding balancing energy bids.</w:t>
      </w:r>
    </w:p>
    <w:p>
      <w:pPr>
        <w:pStyle w:val="BodyText"/>
        <w:rPr/>
      </w:pPr>
      <w:r>
        <w:rPr/>
        <w:t>Another mechanism being proposed is through use of the Balancing Energy Up load which was incorporated into the Protocols at Section 6 by PIP #112.  Using Balancing Energy Up load, the load can bid into the Balancing Energy market in the same day.</w:t>
      </w:r>
    </w:p>
    <w:p>
      <w:pPr>
        <w:pStyle w:val="Heading3"/>
        <w:rPr/>
      </w:pPr>
      <w:bookmarkStart w:id="22" w:name="__RefHeading___Toc505133838"/>
      <w:bookmarkEnd w:id="22"/>
      <w:r>
        <w:rPr/>
        <w:t>Texas-New Mexico Power Company Issues</w:t>
      </w:r>
    </w:p>
    <w:p>
      <w:pPr>
        <w:pStyle w:val="BlockText"/>
        <w:numPr>
          <w:ilvl w:val="0"/>
          <w:numId w:val="23"/>
        </w:numPr>
        <w:rPr/>
      </w:pPr>
      <w:r>
        <w:rPr/>
        <w:t xml:space="preserve">Will pricing of power be market driven?  Will prices paid for generation to preserve reliability (including RMR payments) be inflated?  Will local congestion solutions foster competition?  </w:t>
      </w:r>
    </w:p>
    <w:p>
      <w:pPr>
        <w:pStyle w:val="BodyText"/>
        <w:rPr/>
      </w:pPr>
      <w:r>
        <w:rPr/>
        <w:t>The ERCOT Protocols support a competitive market for ancillary services that complements the broader bilateral market.  Prices for generation will reflect the market conditions at the time transactions occur.  As for local congestion solutions, Reliant Energy believes the Protocols will foster competition between resources that are able to resolve local congestion.</w:t>
      </w:r>
    </w:p>
    <w:p>
      <w:pPr>
        <w:pStyle w:val="BlockText"/>
        <w:numPr>
          <w:ilvl w:val="0"/>
          <w:numId w:val="3"/>
        </w:numPr>
        <w:rPr/>
      </w:pPr>
      <w:r>
        <w:rPr/>
        <w:t xml:space="preserve">Will uploading of UFE costs for all market participants reduce incentive for a distribution utility to correct factors that cause UFE?  </w:t>
      </w:r>
    </w:p>
    <w:p>
      <w:pPr>
        <w:pStyle w:val="BodyText"/>
        <w:rPr/>
      </w:pPr>
      <w:r>
        <w:rPr/>
        <w:t xml:space="preserve">At market open, Unaccounted for Energy (“UFE”) costs will be allocated on a statewide-basis.  However, the Protocols require ERCOT to establish a UFE Analysis Team that will (1) analyze UFE data from June 1, 2001 to December 31, 2002, (2) post findings on a regular basis and (3) provide a recommendation by April 2003 to the ERCOT Board. Protocol Section 11.5.1.  The team is responsible for identifying factors that are contributing to UFE and working with the appropriate entities to rectify problems causing UFE.  It is premature to conclude that calculating UFE on a statewide basis rather than on a zonal basis during the study period will reduce the incentive to correct factors causing UFE.  The Commission should not consider this issue in this proceeding.  </w:t>
      </w:r>
    </w:p>
    <w:p>
      <w:pPr>
        <w:pStyle w:val="BlockText"/>
        <w:numPr>
          <w:ilvl w:val="0"/>
          <w:numId w:val="3"/>
        </w:numPr>
        <w:rPr/>
      </w:pPr>
      <w:r>
        <w:rPr/>
        <w:t xml:space="preserve">Should interruptible loads be limited in participating in the spinning reserve market as long as participation is designed properly and the system is not adversely affected by the blocked response of load resources?  </w:t>
      </w:r>
    </w:p>
    <w:p>
      <w:pPr>
        <w:pStyle w:val="BodyText"/>
        <w:rPr/>
      </w:pPr>
      <w:r>
        <w:rPr/>
        <w:t>This is an Operating Guide issue – not a Protocol issue.  An ERCOT assigned group is working on these guides and the matter should be forwarded to that group.</w:t>
      </w:r>
    </w:p>
    <w:p>
      <w:pPr>
        <w:pStyle w:val="BlockText"/>
        <w:numPr>
          <w:ilvl w:val="0"/>
          <w:numId w:val="3"/>
        </w:numPr>
        <w:rPr/>
      </w:pPr>
      <w:r>
        <w:rPr/>
        <w:t xml:space="preserve">Should the Protocols incorporate BUL language to incentivize load participation, but monitor the outcome of the theory that during periods of resource scarcity (the capacity price for Non-Spin will be higher, thus encouraging the loads to participate)? </w:t>
      </w:r>
    </w:p>
    <w:p>
      <w:pPr>
        <w:pStyle w:val="BodyText"/>
        <w:rPr/>
      </w:pPr>
      <w:r>
        <w:rPr/>
        <w:t xml:space="preserve">Protocol Section 6 (added by PIP #112) addresses this issue.  If after ERCOT performs a system analysis it is demonstrated that a change is needed, that can be undertaken through the Protocol change process.   </w:t>
      </w:r>
    </w:p>
    <w:p>
      <w:pPr>
        <w:pStyle w:val="BlockText"/>
        <w:numPr>
          <w:ilvl w:val="0"/>
          <w:numId w:val="3"/>
        </w:numPr>
        <w:rPr/>
      </w:pPr>
      <w:r>
        <w:rPr/>
        <w:t xml:space="preserve">Should the uninstructed deviation calculation be corrected to allow QSE’s to correct for deviations in load resources through the use of generation rather than separate load and generation calculations?    </w:t>
      </w:r>
    </w:p>
    <w:p>
      <w:pPr>
        <w:pStyle w:val="BodyText"/>
        <w:rPr/>
      </w:pPr>
      <w:r>
        <w:rPr/>
        <w:t xml:space="preserve">PIP #112 revised Section 6.8.1.14 which corrects the uninstructed deviation calculation to accommodate both loads acting as a resource and balancing-up load.  Thus, this issue need not be considered by the Commission.  </w:t>
      </w:r>
    </w:p>
    <w:p>
      <w:pPr>
        <w:pStyle w:val="BlockText"/>
        <w:numPr>
          <w:ilvl w:val="0"/>
          <w:numId w:val="3"/>
        </w:numPr>
        <w:rPr/>
      </w:pPr>
      <w:r>
        <w:rPr/>
        <w:t xml:space="preserve">Should the north HVDC tie language for owners outside of ERCOT be clarified?   </w:t>
      </w:r>
    </w:p>
    <w:p>
      <w:pPr>
        <w:pStyle w:val="BodyText"/>
        <w:rPr>
          <w:b/>
        </w:rPr>
      </w:pPr>
      <w:r>
        <w:rPr/>
        <w:t xml:space="preserve">This concern is already addressed by and incorporated in Section 4.4.18.4 (amended and clarified by PIP #109).  </w:t>
      </w:r>
    </w:p>
    <w:p>
      <w:pPr>
        <w:pStyle w:val="BlockText"/>
        <w:numPr>
          <w:ilvl w:val="0"/>
          <w:numId w:val="3"/>
        </w:numPr>
        <w:rPr/>
      </w:pPr>
      <w:r>
        <w:rPr/>
        <w:t xml:space="preserve">Should the ramp rate calculation in SCE equations for balancing energy be clarified?  </w:t>
      </w:r>
    </w:p>
    <w:p>
      <w:pPr>
        <w:pStyle w:val="BodyText"/>
        <w:rPr/>
      </w:pPr>
      <w:r>
        <w:rPr/>
        <w:t>It would be premature to address this at this time.  It has been addressed though PIP #110 which revises Section 6.5.2(17).  When the approach for including the ramp rate in the energy instruction has not been defined the revised language will be added to the Protocol.</w:t>
      </w:r>
    </w:p>
    <w:p>
      <w:pPr>
        <w:pStyle w:val="BlockText"/>
        <w:numPr>
          <w:ilvl w:val="0"/>
          <w:numId w:val="3"/>
        </w:numPr>
        <w:rPr/>
      </w:pPr>
      <w:r>
        <w:rPr/>
        <w:t xml:space="preserve">Should the Protocols contain language to relax SCE calculation for load acting as resource by allowing the QSE to match the load resource with generation, thus allowing the generation decreases to take the place of load which cannot return load in the specified ramp?  </w:t>
      </w:r>
    </w:p>
    <w:p>
      <w:pPr>
        <w:pStyle w:val="BodyText"/>
        <w:rPr/>
      </w:pPr>
      <w:r>
        <w:rPr/>
        <w:t>It would be premature to address this at this time.  It is being corrected in PIP #110 and #112 which revise Sections 6.5.2(17) and 6.8.1.14.  When the approach for including the ramp rate in the energy instruction has been defined the revised language will be added to the Protocol.</w:t>
      </w:r>
    </w:p>
    <w:p>
      <w:pPr>
        <w:pStyle w:val="BlockText"/>
        <w:numPr>
          <w:ilvl w:val="0"/>
          <w:numId w:val="3"/>
        </w:numPr>
        <w:rPr/>
      </w:pPr>
      <w:r>
        <w:rPr/>
        <w:t xml:space="preserve">Should there be uninstructed deviation payment reduction for renewable resources?  </w:t>
      </w:r>
    </w:p>
    <w:p>
      <w:pPr>
        <w:pStyle w:val="BodyText"/>
        <w:rPr/>
      </w:pPr>
      <w:r>
        <w:rPr/>
        <w:t>This is no longer an issue.  It has been addressed in Section 6.8.1.15.1(3).  Relief has been given to QSE’s scheduling renewables with regard to uninstructed deviation payments.</w:t>
      </w:r>
    </w:p>
    <w:p>
      <w:pPr>
        <w:pStyle w:val="BlockText"/>
        <w:numPr>
          <w:ilvl w:val="0"/>
          <w:numId w:val="3"/>
        </w:numPr>
        <w:rPr/>
      </w:pPr>
      <w:r>
        <w:rPr/>
        <w:t xml:space="preserve">Will legal and equitable rights be waived through binding arbitration in ADR?  </w:t>
      </w:r>
    </w:p>
    <w:p>
      <w:pPr>
        <w:pStyle w:val="BodyText"/>
        <w:rPr/>
      </w:pPr>
      <w:r>
        <w:rPr/>
        <w:t xml:space="preserve"> </w:t>
      </w:r>
      <w:r>
        <w:rPr>
          <w:i/>
        </w:rPr>
        <w:t>See</w:t>
      </w:r>
      <w:r>
        <w:rPr/>
        <w:t xml:space="preserve"> Reliant Energy’s response to City of Austin issue #4 above.     </w:t>
      </w:r>
    </w:p>
    <w:p>
      <w:pPr>
        <w:pStyle w:val="Heading3"/>
        <w:rPr/>
      </w:pPr>
      <w:bookmarkStart w:id="23" w:name="__RefHeading___Toc505133839"/>
      <w:bookmarkEnd w:id="23"/>
      <w:r>
        <w:rPr/>
        <w:t>Texas Renewable Power Coalition Issue</w:t>
      </w:r>
    </w:p>
    <w:p>
      <w:pPr>
        <w:pStyle w:val="BlockText"/>
        <w:numPr>
          <w:ilvl w:val="0"/>
          <w:numId w:val="24"/>
        </w:numPr>
        <w:rPr/>
      </w:pPr>
      <w:r>
        <w:rPr/>
        <w:t xml:space="preserve">Do the Protocols unfairly impose the recovery of costs of administering the REC trading program on the renewable energy generators, instead of recovering them on a broader basis from additional market participants as part of the larger ERCOT fee structure?  Should the ERCOT fee be changed to support the REC trading program? </w:t>
      </w:r>
    </w:p>
    <w:p>
      <w:pPr>
        <w:pStyle w:val="BodyText"/>
        <w:rPr/>
      </w:pPr>
      <w:r>
        <w:rPr/>
        <w:t>The Stakeholders voted to charge the costs of administration of the REC trading program to the renewable energy generators.  If this results in too great a burden and slows development of renewable resouces, then a portion or all of the program costs could be uplifted to the market participants.  That sharing of costs would continue until enough renewable generators are on line to minimize the financial burdens on the development of additional renewable resources.  Any change in the current structure should proceed through the Protocol change process.</w:t>
      </w:r>
    </w:p>
    <w:p>
      <w:pPr>
        <w:pStyle w:val="BlockText"/>
        <w:numPr>
          <w:ilvl w:val="0"/>
          <w:numId w:val="3"/>
        </w:numPr>
        <w:rPr/>
      </w:pPr>
      <w:r>
        <w:rPr/>
        <w:t xml:space="preserve"> </w:t>
      </w:r>
      <w:r>
        <w:rPr/>
        <w:t xml:space="preserve">Should the definition of “total generation capacity” be revised to clarify that it is each facility’s </w:t>
      </w:r>
      <w:r>
        <w:rPr>
          <w:u w:val="single"/>
        </w:rPr>
        <w:t>average</w:t>
      </w:r>
      <w:r>
        <w:rPr/>
        <w:t xml:space="preserve"> total generation capacity?</w:t>
      </w:r>
    </w:p>
    <w:p>
      <w:pPr>
        <w:pStyle w:val="BodyText"/>
        <w:rPr/>
      </w:pPr>
      <w:r>
        <w:rPr/>
        <w:t>If the calculation of the Capacity Conversion Factor as it appears in Section 14.10.2 needs to be changed in order to be consistent with the requirements of section §25.173(j)(2) of the Commission’s Substantive Rule for Goal of Renewable Energy, then the change should be made through the Protocol change process.</w:t>
      </w:r>
    </w:p>
    <w:p>
      <w:pPr>
        <w:pStyle w:val="Heading3"/>
        <w:rPr/>
      </w:pPr>
      <w:bookmarkStart w:id="24" w:name="__RefHeading___Toc505133840"/>
      <w:bookmarkEnd w:id="24"/>
      <w:r>
        <w:rPr/>
        <w:t>Lower Colorado River Authority Issue</w:t>
      </w:r>
    </w:p>
    <w:p>
      <w:pPr>
        <w:pStyle w:val="BlockText"/>
        <w:numPr>
          <w:ilvl w:val="0"/>
          <w:numId w:val="25"/>
        </w:numPr>
        <w:rPr/>
      </w:pPr>
      <w:r>
        <w:rPr/>
        <w:t>Should Responsive Reserve Service performance requirements be modified to include the use of hydroelectric units?</w:t>
      </w:r>
    </w:p>
    <w:p>
      <w:pPr>
        <w:pStyle w:val="BodyText"/>
        <w:rPr/>
      </w:pPr>
      <w:r>
        <w:rPr/>
        <w:t>The Commission should adopt LCRA’s recommended wording change to Section 6.1.4  as submitted to the Commission on December 1, 2000.</w:t>
      </w:r>
    </w:p>
    <w:p>
      <w:pPr>
        <w:pStyle w:val="Heading1"/>
        <w:ind w:hanging="0" w:start="0"/>
        <w:rPr/>
      </w:pPr>
      <w:bookmarkStart w:id="25" w:name="__RefHeading___Toc505133841"/>
      <w:bookmarkEnd w:id="25"/>
      <w:r>
        <w:rPr/>
        <w:t>CONCLUSION</w:t>
      </w:r>
    </w:p>
    <w:p>
      <w:pPr>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20" w:top="1440" w:footer="720" w:bottom="1260"/>
          <w:pgNumType w:fmt="decimal"/>
          <w:formProt w:val="false"/>
          <w:textDirection w:val="lrTb"/>
          <w:docGrid w:type="default" w:linePitch="360" w:charSpace="0"/>
        </w:sectPr>
        <w:pStyle w:val="BodyText"/>
        <w:rPr/>
      </w:pPr>
      <w:r>
        <w:rPr/>
        <w:t>Reliant Energy respectfully requests that the Commission approve the Protocols in accordance with the recommendations set forth in this Brief.</w:t>
      </w:r>
    </w:p>
    <w:p>
      <w:pPr>
        <w:pStyle w:val="BodyText"/>
        <w:spacing w:lineRule="auto" w:line="240"/>
        <w:ind w:hanging="0" w:start="4320" w:end="0"/>
        <w:rPr/>
      </w:pPr>
      <w:r>
        <w:rPr/>
        <w:t>Respectfully submitted,</w:t>
      </w:r>
    </w:p>
    <w:p>
      <w:pPr>
        <w:pStyle w:val="BodyText"/>
        <w:spacing w:lineRule="auto" w:line="240"/>
        <w:ind w:hanging="0" w:start="4320" w:end="0"/>
        <w:rPr/>
      </w:pPr>
      <w:r>
        <w:rPr/>
      </w:r>
    </w:p>
    <w:p>
      <w:pPr>
        <w:pStyle w:val="BodyText"/>
        <w:spacing w:lineRule="auto" w:line="240"/>
        <w:ind w:hanging="0" w:end="0"/>
        <w:rPr/>
      </w:pPr>
      <w:r>
        <w:rPr/>
        <w:t>Date:  January 26, 2001</w:t>
      </w:r>
    </w:p>
    <w:p>
      <w:pPr>
        <w:pStyle w:val="BodyText"/>
        <w:spacing w:lineRule="auto" w:line="240"/>
        <w:ind w:hanging="0" w:end="0"/>
        <w:rPr/>
      </w:pPr>
      <w:r>
        <w:rPr/>
      </w:r>
    </w:p>
    <w:p>
      <w:pPr>
        <w:pStyle w:val="Normal"/>
        <w:ind w:start="4320" w:end="0"/>
        <w:rPr/>
      </w:pPr>
      <w:r>
        <w:rPr/>
        <w:t>______________________________</w:t>
      </w:r>
    </w:p>
    <w:p>
      <w:pPr>
        <w:pStyle w:val="Normal"/>
        <w:ind w:start="4320" w:end="0"/>
        <w:rPr/>
      </w:pPr>
      <w:r>
        <w:rPr/>
        <w:t>Hugh Rice Kelly</w:t>
      </w:r>
    </w:p>
    <w:p>
      <w:pPr>
        <w:pStyle w:val="Normal"/>
        <w:rPr/>
      </w:pPr>
      <w:r>
        <w:rPr/>
        <w:tab/>
        <w:tab/>
        <w:tab/>
        <w:tab/>
        <w:tab/>
        <w:tab/>
        <w:t>Executive Vice President and General Counsel</w:t>
      </w:r>
    </w:p>
    <w:p>
      <w:pPr>
        <w:pStyle w:val="Normal"/>
        <w:rPr/>
      </w:pPr>
      <w:r>
        <w:rPr/>
        <w:tab/>
        <w:tab/>
        <w:tab/>
        <w:tab/>
        <w:tab/>
        <w:tab/>
        <w:t>State Bar No. 11220500</w:t>
      </w:r>
    </w:p>
    <w:p>
      <w:pPr>
        <w:pStyle w:val="Normal"/>
        <w:rPr/>
      </w:pPr>
      <w:r>
        <w:rPr/>
        <w:tab/>
        <w:tab/>
        <w:tab/>
        <w:tab/>
        <w:tab/>
        <w:tab/>
        <w:t>Harris Leven</w:t>
      </w:r>
    </w:p>
    <w:p>
      <w:pPr>
        <w:pStyle w:val="Normal"/>
        <w:rPr/>
      </w:pPr>
      <w:r>
        <w:rPr/>
        <w:tab/>
        <w:tab/>
        <w:tab/>
        <w:tab/>
        <w:tab/>
        <w:tab/>
        <w:t>Senior Counsel</w:t>
      </w:r>
    </w:p>
    <w:p>
      <w:pPr>
        <w:pStyle w:val="Normal"/>
        <w:rPr/>
      </w:pPr>
      <w:r>
        <w:rPr/>
        <w:tab/>
        <w:tab/>
        <w:tab/>
        <w:tab/>
        <w:tab/>
        <w:tab/>
        <w:t>State Bar No. 12246480</w:t>
      </w:r>
    </w:p>
    <w:p>
      <w:pPr>
        <w:pStyle w:val="Normal"/>
        <w:rPr/>
      </w:pPr>
      <w:r>
        <w:rPr/>
        <w:tab/>
        <w:tab/>
        <w:tab/>
        <w:tab/>
        <w:tab/>
        <w:tab/>
        <w:t>Reliant Energy, Incorporated</w:t>
      </w:r>
    </w:p>
    <w:p>
      <w:pPr>
        <w:pStyle w:val="Normal"/>
        <w:rPr/>
      </w:pPr>
      <w:r>
        <w:rPr/>
        <w:tab/>
        <w:tab/>
        <w:tab/>
        <w:tab/>
        <w:tab/>
        <w:tab/>
        <w:t>P.O. Box 61867</w:t>
      </w:r>
    </w:p>
    <w:p>
      <w:pPr>
        <w:pStyle w:val="Normal"/>
        <w:rPr/>
      </w:pPr>
      <w:r>
        <w:rPr/>
        <w:tab/>
        <w:tab/>
        <w:tab/>
        <w:tab/>
        <w:tab/>
        <w:tab/>
        <w:t>Houston, Texas  77208</w:t>
      </w:r>
    </w:p>
    <w:p>
      <w:pPr>
        <w:pStyle w:val="Normal"/>
        <w:rPr/>
      </w:pPr>
      <w:r>
        <w:rPr/>
        <w:tab/>
        <w:tab/>
        <w:tab/>
        <w:tab/>
        <w:tab/>
        <w:tab/>
        <w:t>Telephone:  (713) 207-7789</w:t>
      </w:r>
    </w:p>
    <w:p>
      <w:pPr>
        <w:pStyle w:val="Normal"/>
        <w:rPr/>
      </w:pPr>
      <w:r>
        <w:rPr/>
        <w:tab/>
        <w:tab/>
        <w:tab/>
        <w:tab/>
        <w:tab/>
        <w:tab/>
        <w:t>Facsimile:  (713) 207-9819</w:t>
      </w:r>
    </w:p>
    <w:p>
      <w:pPr>
        <w:pStyle w:val="Normal"/>
        <w:ind w:start="4320" w:end="0"/>
        <w:rPr/>
      </w:pPr>
      <w:r>
        <w:rPr/>
      </w:r>
    </w:p>
    <w:p>
      <w:pPr>
        <w:pStyle w:val="BodyText"/>
        <w:spacing w:lineRule="auto" w:line="240"/>
        <w:ind w:start="2880" w:end="0"/>
        <w:jc w:val="start"/>
        <w:rPr/>
      </w:pPr>
      <w:r>
        <w:rPr/>
        <w:t>I. Jay Golub</w:t>
      </w:r>
    </w:p>
    <w:p>
      <w:pPr>
        <w:pStyle w:val="BodyText"/>
        <w:spacing w:lineRule="auto" w:line="240"/>
        <w:ind w:start="2880" w:end="0"/>
        <w:jc w:val="start"/>
        <w:rPr/>
      </w:pPr>
      <w:r>
        <w:rPr/>
        <w:t>State Bar No. 08115000</w:t>
      </w:r>
    </w:p>
    <w:p>
      <w:pPr>
        <w:pStyle w:val="Normal"/>
        <w:ind w:start="4320" w:end="0"/>
        <w:rPr/>
      </w:pPr>
      <w:r>
        <w:rPr/>
        <w:t>Sarah Sharlot Dietrich</w:t>
        <w:tab/>
      </w:r>
    </w:p>
    <w:p>
      <w:pPr>
        <w:pStyle w:val="BodyText"/>
        <w:spacing w:lineRule="auto" w:line="240"/>
        <w:jc w:val="start"/>
        <w:rPr/>
      </w:pPr>
      <w:r>
        <w:rPr/>
        <w:tab/>
        <w:tab/>
        <w:tab/>
        <w:tab/>
        <w:t>State Bar No. 18114310</w:t>
      </w:r>
    </w:p>
    <w:p>
      <w:pPr>
        <w:pStyle w:val="BodyText"/>
        <w:spacing w:lineRule="auto" w:line="240"/>
        <w:ind w:start="2880" w:end="0"/>
        <w:jc w:val="start"/>
        <w:rPr/>
      </w:pPr>
      <w:r>
        <w:rPr/>
        <w:t>Baker Botts L.L.P.</w:t>
      </w:r>
    </w:p>
    <w:p>
      <w:pPr>
        <w:pStyle w:val="BodyText"/>
        <w:spacing w:lineRule="auto" w:line="240"/>
        <w:ind w:start="2880" w:end="0"/>
        <w:jc w:val="start"/>
        <w:rPr/>
      </w:pPr>
      <w:r>
        <w:rPr/>
        <w:t>910 Louisiana, Suite 3000</w:t>
      </w:r>
    </w:p>
    <w:p>
      <w:pPr>
        <w:pStyle w:val="BodyText"/>
        <w:spacing w:lineRule="auto" w:line="240"/>
        <w:ind w:start="2880" w:end="0"/>
        <w:jc w:val="start"/>
        <w:rPr/>
      </w:pPr>
      <w:r>
        <w:rPr/>
        <w:t>Houston, Texas  77002-4995</w:t>
      </w:r>
    </w:p>
    <w:p>
      <w:pPr>
        <w:pStyle w:val="BodyText"/>
        <w:spacing w:lineRule="auto" w:line="240"/>
        <w:ind w:start="2880" w:end="0"/>
        <w:jc w:val="start"/>
        <w:rPr/>
      </w:pPr>
      <w:r>
        <w:rPr/>
        <w:t>Telephone:  (713) 229-1246</w:t>
      </w:r>
    </w:p>
    <w:p>
      <w:pPr>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720" w:top="1440" w:footer="720" w:bottom="1260"/>
          <w:pgNumType w:fmt="decimal"/>
          <w:formProt w:val="false"/>
          <w:textDirection w:val="lrTb"/>
          <w:docGrid w:type="default" w:linePitch="360" w:charSpace="0"/>
        </w:sectPr>
        <w:pStyle w:val="BodyText"/>
        <w:spacing w:lineRule="auto" w:line="240"/>
        <w:ind w:start="2880" w:end="0"/>
        <w:jc w:val="start"/>
        <w:rPr/>
      </w:pPr>
      <w:r>
        <w:rPr/>
        <w:t>Facsimile:  (713)  229-1522</w:t>
      </w:r>
    </w:p>
    <w:p>
      <w:pPr>
        <w:pStyle w:val="NormalIndent"/>
        <w:spacing w:before="0" w:after="240"/>
        <w:ind w:hanging="0" w:end="0"/>
        <w:rPr/>
      </w:pPr>
      <w:r>
        <w:rPr/>
      </w:r>
    </w:p>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720" w:top="1440" w:footer="72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fldChar w:fldCharType="begin"/>
    </w:r>
    <w:r>
      <w:rPr/>
      <w:instrText xml:space="preserve"> COMMENTS </w:instrText>
    </w:r>
    <w:r>
      <w:rPr/>
      <w:fldChar w:fldCharType="separate"/>
    </w:r>
    <w:r>
      <w:rPr/>
      <w:t>HOU03:743839.6</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6"/>
      </w:rPr>
      <w:t>Reliant Energy HL&amp;P’s Brief on the ERCOT Protocol Issues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HOU03:743839.6</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p>
    <w:pPr>
      <w:pStyle w:val="Footer"/>
      <w:rPr/>
    </w:pPr>
    <w:r>
      <w:rPr>
        <w:rStyle w:val="PageNumber"/>
        <w:sz w:val="16"/>
      </w:rPr>
      <w:t>Reliant Energy HL&amp;P’s Brief on the ERCOT Protocol Issues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HOU03:743839.6</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p>
  <w:p>
    <w:pPr>
      <w:pStyle w:val="Footer"/>
      <w:rPr/>
    </w:pPr>
    <w:r>
      <w:rPr>
        <w:rStyle w:val="PageNumber"/>
        <w:sz w:val="16"/>
      </w:rPr>
      <w:t>Reliant Energy HL&amp;P’s Brief on the ERCOT Protocol Issues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HOU03:743839.6</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p>
    <w:pPr>
      <w:pStyle w:val="Footer"/>
      <w:rPr/>
    </w:pPr>
    <w:r>
      <w:rPr>
        <w:rStyle w:val="PageNumber"/>
        <w:sz w:val="16"/>
      </w:rPr>
      <w:t>Reliant Energy HL&amp;P’s Brief on the ERCOT Protocol Issues</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24"/>
        </w:rPr>
        <w:t>PIP is defined as the “Plan developed by ERCOT that identifies any known differences between the ERCOT market operations system, power operations system, and settlement systems and these Protocols, and specifies a plan</w:t>
      </w:r>
      <w:r>
        <w:rPr/>
        <w:t xml:space="preserve"> </w:t>
      </w:r>
      <w:r>
        <w:rPr>
          <w:sz w:val="24"/>
        </w:rPr>
        <w:t>to conform such systems to these Protocols.”  Protocols § 2.</w:t>
      </w:r>
    </w:p>
  </w:footnote>
  <w:footnote w:id="3">
    <w:p>
      <w:pPr>
        <w:pStyle w:val="FootnoteText"/>
        <w:rPr/>
      </w:pPr>
      <w:r>
        <w:rPr>
          <w:rStyle w:val="FootnoteCharacters"/>
        </w:rPr>
        <w:footnoteRef/>
      </w:r>
      <w:r>
        <w:rPr/>
        <w:t xml:space="preserve">  </w:t>
      </w:r>
      <w:r>
        <w:rPr>
          <w:sz w:val="23"/>
        </w:rPr>
        <w:t>“</w:t>
      </w:r>
      <w:r>
        <w:rPr>
          <w:sz w:val="23"/>
        </w:rPr>
        <w:t>Market Solutions” are defined in the Protocols as existing “when at least three unaffected resources have available capacity making them capable of submitting bids to ERCOT to solve a circumstance of local Congestion and no one bidder is essential to solving the Congestion.”  Protocol § 2.</w:t>
      </w:r>
    </w:p>
  </w:footnote>
  <w:footnote w:id="4">
    <w:p>
      <w:pPr>
        <w:pStyle w:val="FootnoteText"/>
        <w:rPr/>
      </w:pPr>
      <w:r>
        <w:rPr>
          <w:rStyle w:val="FootnoteCharacters"/>
        </w:rPr>
        <w:footnoteRef/>
      </w:r>
      <w:r>
        <w:rPr/>
        <w:t xml:space="preserve"> </w:t>
      </w:r>
      <w:r>
        <w:rPr>
          <w:sz w:val="24"/>
        </w:rPr>
        <w:t>“</w:t>
      </w:r>
      <w:r>
        <w:rPr>
          <w:sz w:val="24"/>
        </w:rPr>
        <w:t xml:space="preserve">Demand Side’s Promise,” </w:t>
      </w:r>
      <w:r>
        <w:rPr>
          <w:i/>
          <w:sz w:val="24"/>
        </w:rPr>
        <w:t xml:space="preserve">PennFuture3, </w:t>
      </w:r>
      <w:r>
        <w:rPr>
          <w:sz w:val="24"/>
        </w:rPr>
        <w:t>December 11, 2000.</w:t>
      </w:r>
    </w:p>
  </w:footnote>
  <w:footnote w:id="5">
    <w:p>
      <w:pPr>
        <w:pStyle w:val="FootnoteText"/>
        <w:rPr/>
      </w:pPr>
      <w:r>
        <w:rPr>
          <w:rStyle w:val="FootnoteCharacters"/>
        </w:rPr>
        <w:footnoteRef/>
      </w:r>
      <w:r>
        <w:rPr/>
        <w:t xml:space="preserve"> </w:t>
      </w:r>
      <w:r>
        <w:rPr>
          <w:sz w:val="24"/>
        </w:rPr>
        <w:t>“</w:t>
      </w:r>
      <w:r>
        <w:rPr>
          <w:sz w:val="24"/>
        </w:rPr>
        <w:t xml:space="preserve">California’s Power Crisis: Catalyst for National Reform?”, </w:t>
      </w:r>
      <w:r>
        <w:rPr>
          <w:i/>
          <w:sz w:val="24"/>
        </w:rPr>
        <w:t>Public Utilities Fortnightly</w:t>
      </w:r>
      <w:r>
        <w:rPr>
          <w:sz w:val="24"/>
        </w:rPr>
        <w:t xml:space="preserve">, December 2000, p.29-31. </w:t>
      </w:r>
    </w:p>
  </w:footnote>
  <w:footnote w:id="6">
    <w:p>
      <w:pPr>
        <w:pStyle w:val="FootnoteText"/>
        <w:rPr/>
      </w:pPr>
      <w:r>
        <w:rPr>
          <w:rStyle w:val="FootnoteCharacters"/>
        </w:rPr>
        <w:footnoteRef/>
      </w:r>
      <w:r>
        <w:rPr/>
        <w:t xml:space="preserve"> </w:t>
      </w:r>
      <w:r>
        <w:rPr>
          <w:sz w:val="24"/>
        </w:rPr>
        <w:t>Regulation Service-Down and Regulation Service-Up are defined at Protocol Section 6.1.2 and 6.1.3 respectively.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4"/>
        <w:i w:val="false"/>
        <w:u w:val="none"/>
        <w:b/>
        <w:rFonts w:ascii="Times New Roman" w:hAnsi="Times New Roman" w:cs="Times New Roman"/>
        <w:color w:val="auto"/>
      </w:rPr>
    </w:lvl>
    <w:lvl w:ilvl="1">
      <w:start w:val="1"/>
      <w:pStyle w:val="Heading2"/>
      <w:numFmt w:val="upperLetter"/>
      <w:lvlText w:val="%2."/>
      <w:lvlJc w:val="start"/>
      <w:pPr>
        <w:tabs>
          <w:tab w:val="num" w:pos="360"/>
        </w:tabs>
        <w:ind w:start="0" w:hanging="0"/>
      </w:pPr>
      <w:rPr>
        <w:sz w:val="24"/>
        <w:i w:val="false"/>
        <w:u w:val="none"/>
        <w:b/>
        <w:rFonts w:ascii="Times New Roman" w:hAnsi="Times New Roman" w:cs="Times New Roman"/>
        <w:color w:val="auto"/>
      </w:rPr>
    </w:lvl>
    <w:lvl w:ilvl="2">
      <w:start w:val="1"/>
      <w:numFmt w:val="upperLetter"/>
      <w:lvlText w:val="(%3)"/>
      <w:lvlJc w:val="start"/>
      <w:pPr>
        <w:tabs>
          <w:tab w:val="num" w:pos="2880"/>
        </w:tabs>
        <w:ind w:start="2880" w:hanging="720"/>
      </w:pPr>
      <w:rPr>
        <w:sz w:val="16"/>
        <w:rFonts w:ascii="Arial" w:hAnsi="Arial" w:cs="Arial"/>
        <w:color w:val="auto"/>
      </w:rPr>
    </w:lvl>
    <w:lvl w:ilvl="3">
      <w:start w:val="1"/>
      <w:numFmt w:val="decimal"/>
      <w:lvlText w:val="(%4)"/>
      <w:lvlJc w:val="start"/>
      <w:pPr>
        <w:tabs>
          <w:tab w:val="num" w:pos="3600"/>
        </w:tabs>
        <w:ind w:start="3600" w:hanging="720"/>
      </w:pPr>
      <w:rPr>
        <w:sz w:val="16"/>
        <w:i w:val="false"/>
        <w:u w:val="none"/>
        <w:b w:val="false"/>
        <w:rFonts w:ascii="Arial" w:hAnsi="Arial" w:cs="Arial"/>
        <w:color w:val="auto"/>
      </w:rPr>
    </w:lvl>
    <w:lvl w:ilvl="4">
      <w:start w:val="1"/>
      <w:numFmt w:val="decimal"/>
      <w:lvlText w:val="(%5)"/>
      <w:lvlJc w:val="start"/>
      <w:pPr>
        <w:tabs>
          <w:tab w:val="num" w:pos="0"/>
        </w:tabs>
        <w:ind w:start="0" w:hanging="0"/>
      </w:pPr>
      <w:rPr>
        <w:color w:val="auto"/>
      </w:rPr>
    </w:lvl>
    <w:lvl w:ilvl="5">
      <w:start w:val="1"/>
      <w:numFmt w:val="lowerLetter"/>
      <w:lvlText w:val="(%6)"/>
      <w:lvlJc w:val="start"/>
      <w:pPr>
        <w:tabs>
          <w:tab w:val="num" w:pos="0"/>
        </w:tabs>
        <w:ind w:start="0" w:hanging="0"/>
      </w:pPr>
      <w:rPr>
        <w:color w:val="auto"/>
      </w:rPr>
    </w:lvl>
    <w:lvl w:ilvl="6">
      <w:start w:val="1"/>
      <w:numFmt w:val="lowerRoman"/>
      <w:lvlText w:val="%7)"/>
      <w:lvlJc w:val="start"/>
      <w:pPr>
        <w:tabs>
          <w:tab w:val="num" w:pos="0"/>
        </w:tabs>
        <w:ind w:start="0" w:hanging="0"/>
      </w:pPr>
      <w:rPr>
        <w:color w:val="auto"/>
      </w:rPr>
    </w:lvl>
    <w:lvl w:ilvl="7">
      <w:start w:val="1"/>
      <w:numFmt w:val="lowerLetter"/>
      <w:lvlText w:val="%8)"/>
      <w:lvlJc w:val="start"/>
      <w:pPr>
        <w:tabs>
          <w:tab w:val="num" w:pos="0"/>
        </w:tabs>
        <w:ind w:start="0" w:hanging="0"/>
      </w:pPr>
      <w:rPr>
        <w:color w:val="auto"/>
      </w:rPr>
    </w:lvl>
    <w:lvl w:ilvl="8">
      <w:start w:val="1"/>
      <w:numFmt w:val="none"/>
      <w:suff w:val="nothing"/>
      <w:lvlText w:val="%9"/>
      <w:lvlJc w:val="start"/>
      <w:pPr>
        <w:tabs>
          <w:tab w:val="num" w:pos="0"/>
        </w:tabs>
        <w:ind w:start="0" w:hanging="0"/>
      </w:pPr>
      <w:rPr>
        <w:color w:val="auto"/>
      </w:rPr>
    </w:lvl>
  </w:abstractNum>
  <w:abstractNum w:abstractNumId="2">
    <w:lvl w:ilvl="0">
      <w:start w:val="1"/>
      <w:numFmt w:val="decimal"/>
      <w:lvlText w:val="%1."/>
      <w:lvlJc w:val="start"/>
      <w:pPr>
        <w:tabs>
          <w:tab w:val="num" w:pos="1080"/>
        </w:tabs>
        <w:ind w:start="0" w:firstLine="720"/>
      </w:pPr>
      <w:rPr>
        <w:sz w:val="24"/>
        <w:i w:val="false"/>
        <w:u w:val="none"/>
        <w:b w:val="false"/>
        <w:rFonts w:ascii="Times New Roman" w:hAnsi="Times New Roman" w:cs="Times New Roman"/>
        <w:color w:val="auto"/>
      </w:rPr>
    </w:lvl>
  </w:abstractNum>
  <w:abstractNum w:abstractNumId="3">
    <w:lvl w:ilvl="0">
      <w:start w:val="1"/>
      <w:numFmt w:val="decimal"/>
      <w:lvlText w:val="%1."/>
      <w:lvlJc w:val="start"/>
      <w:pPr>
        <w:tabs>
          <w:tab w:val="num" w:pos="1440"/>
        </w:tabs>
        <w:ind w:start="1440" w:hanging="720"/>
      </w:pPr>
      <w:rPr>
        <w:sz w:val="24"/>
        <w:i w:val="false"/>
        <w:u w:val="none"/>
        <w:b/>
        <w:rFonts w:ascii="Times New Roman" w:hAnsi="Times New Roman" w:cs="Times New Roman"/>
        <w:color w:val="auto"/>
      </w:rPr>
    </w:lvl>
    <w:lvl w:ilvl="1">
      <w:start w:val="1"/>
      <w:numFmt w:val="lowerLetter"/>
      <w:lvlText w:val="%2."/>
      <w:lvlJc w:val="start"/>
      <w:pPr>
        <w:tabs>
          <w:tab w:val="num" w:pos="1440"/>
        </w:tabs>
        <w:ind w:start="1440" w:hanging="720"/>
      </w:pPr>
      <w:rPr>
        <w:sz w:val="24"/>
        <w:i w:val="false"/>
        <w:u w:val="none"/>
        <w:b/>
        <w:rFonts w:ascii="Times New Roman" w:hAnsi="Times New Roman" w:cs="Times New Roman"/>
        <w:color w:val="auto"/>
      </w:rPr>
    </w:lvl>
    <w:lvl w:ilvl="2">
      <w:start w:val="1"/>
      <w:numFmt w:val="upperLetter"/>
      <w:lvlText w:val="(%3)"/>
      <w:lvlJc w:val="start"/>
      <w:pPr>
        <w:tabs>
          <w:tab w:val="num" w:pos="2880"/>
        </w:tabs>
        <w:ind w:start="2880" w:hanging="720"/>
      </w:pPr>
      <w:rPr>
        <w:sz w:val="16"/>
        <w:rFonts w:ascii="Arial" w:hAnsi="Arial" w:cs="Arial"/>
        <w:color w:val="auto"/>
      </w:rPr>
    </w:lvl>
    <w:lvl w:ilvl="3">
      <w:start w:val="1"/>
      <w:numFmt w:val="decimal"/>
      <w:lvlText w:val="(%4)"/>
      <w:lvlJc w:val="start"/>
      <w:pPr>
        <w:tabs>
          <w:tab w:val="num" w:pos="3600"/>
        </w:tabs>
        <w:ind w:start="3600" w:hanging="720"/>
      </w:pPr>
      <w:rPr>
        <w:sz w:val="16"/>
        <w:i w:val="false"/>
        <w:u w:val="none"/>
        <w:b w:val="false"/>
        <w:rFonts w:ascii="Arial" w:hAnsi="Arial" w:cs="Arial"/>
        <w:color w:val="auto"/>
      </w:rPr>
    </w:lvl>
    <w:lvl w:ilvl="4">
      <w:start w:val="1"/>
      <w:numFmt w:val="decimal"/>
      <w:lvlText w:val="(%5)"/>
      <w:lvlJc w:val="start"/>
      <w:pPr>
        <w:tabs>
          <w:tab w:val="num" w:pos="0"/>
        </w:tabs>
        <w:ind w:start="0" w:hanging="0"/>
      </w:pPr>
      <w:rPr>
        <w:color w:val="auto"/>
      </w:rPr>
    </w:lvl>
    <w:lvl w:ilvl="5">
      <w:start w:val="1"/>
      <w:numFmt w:val="lowerLetter"/>
      <w:lvlText w:val="(%6)"/>
      <w:lvlJc w:val="start"/>
      <w:pPr>
        <w:tabs>
          <w:tab w:val="num" w:pos="0"/>
        </w:tabs>
        <w:ind w:start="0" w:hanging="0"/>
      </w:pPr>
      <w:rPr>
        <w:color w:val="auto"/>
      </w:rPr>
    </w:lvl>
    <w:lvl w:ilvl="6">
      <w:start w:val="1"/>
      <w:numFmt w:val="lowerRoman"/>
      <w:lvlText w:val="%7)"/>
      <w:lvlJc w:val="start"/>
      <w:pPr>
        <w:tabs>
          <w:tab w:val="num" w:pos="0"/>
        </w:tabs>
        <w:ind w:start="0" w:hanging="0"/>
      </w:pPr>
      <w:rPr>
        <w:color w:val="auto"/>
      </w:rPr>
    </w:lvl>
    <w:lvl w:ilvl="7">
      <w:start w:val="1"/>
      <w:numFmt w:val="lowerLetter"/>
      <w:lvlText w:val="%8)"/>
      <w:lvlJc w:val="start"/>
      <w:pPr>
        <w:tabs>
          <w:tab w:val="num" w:pos="0"/>
        </w:tabs>
        <w:ind w:start="0" w:hanging="0"/>
      </w:pPr>
      <w:rPr>
        <w:color w:val="auto"/>
      </w:rPr>
    </w:lvl>
    <w:lvl w:ilvl="8">
      <w:start w:val="1"/>
      <w:numFmt w:val="none"/>
      <w:suff w:val="nothing"/>
      <w:lvlText w:val="%9"/>
      <w:lvlJc w:val="start"/>
      <w:pPr>
        <w:tabs>
          <w:tab w:val="num" w:pos="0"/>
        </w:tabs>
        <w:ind w:start="0" w:hanging="0"/>
      </w:pPr>
      <w:rPr>
        <w:color w:val="auto"/>
      </w:rPr>
    </w:lvl>
  </w:abstractNum>
  <w:num w:numId="1">
    <w:abstractNumId w:val="1"/>
  </w:num>
  <w:num w:numId="2">
    <w:abstractNumId w:val="2"/>
  </w:num>
  <w:num w:numId="3">
    <w:abstractNumId w:val="3"/>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lineRule="auto" w:line="480"/>
      <w:jc w:val="center"/>
      <w:outlineLvl w:val="0"/>
    </w:pPr>
    <w:rPr>
      <w:b/>
      <w:caps/>
      <w:kern w:val="2"/>
      <w:u w:val="single"/>
    </w:rPr>
  </w:style>
  <w:style w:type="paragraph" w:styleId="Heading2">
    <w:name w:val="heading 2"/>
    <w:basedOn w:val="Normal"/>
    <w:next w:val="BodyText"/>
    <w:qFormat/>
    <w:pPr>
      <w:keepNext w:val="true"/>
      <w:numPr>
        <w:ilvl w:val="1"/>
        <w:numId w:val="1"/>
      </w:numPr>
      <w:tabs>
        <w:tab w:val="clear" w:pos="720"/>
      </w:tabs>
      <w:spacing w:lineRule="auto" w:line="480"/>
      <w:outlineLvl w:val="1"/>
    </w:pPr>
    <w:rPr>
      <w:b/>
      <w:u w:val="single"/>
    </w:rPr>
  </w:style>
  <w:style w:type="paragraph" w:styleId="Heading3">
    <w:name w:val="heading 3"/>
    <w:basedOn w:val="Normal"/>
    <w:next w:val="BodyText"/>
    <w:qFormat/>
    <w:pPr>
      <w:spacing w:lineRule="auto" w:line="480"/>
      <w:jc w:val="start"/>
      <w:outlineLvl w:val="2"/>
    </w:pPr>
    <w:rPr>
      <w:b/>
      <w:u w:val="single"/>
    </w:rPr>
  </w:style>
  <w:style w:type="paragraph" w:styleId="Heading4">
    <w:name w:val="heading 4"/>
    <w:basedOn w:val="Normal"/>
    <w:next w:val="BodyText"/>
    <w:qFormat/>
    <w:pPr>
      <w:outlineLvl w:val="3"/>
    </w:pPr>
    <w:rPr/>
  </w:style>
  <w:style w:type="paragraph" w:styleId="Heading5">
    <w:name w:val="heading 5"/>
    <w:basedOn w:val="Normal"/>
    <w:next w:val="BodyText"/>
    <w:qFormat/>
    <w:pPr>
      <w:outlineLvl w:val="4"/>
    </w:pPr>
    <w:rPr/>
  </w:style>
  <w:style w:type="paragraph" w:styleId="Heading6">
    <w:name w:val="heading 6"/>
    <w:basedOn w:val="Normal"/>
    <w:next w:val="BodyText"/>
    <w:qFormat/>
    <w:pPr>
      <w:outlineLvl w:val="5"/>
    </w:pPr>
    <w:rPr/>
  </w:style>
  <w:style w:type="paragraph" w:styleId="Heading7">
    <w:name w:val="heading 7"/>
    <w:basedOn w:val="Normal"/>
    <w:next w:val="BodyText"/>
    <w:qFormat/>
    <w:pPr>
      <w:outlineLvl w:val="6"/>
    </w:pPr>
    <w:rPr/>
  </w:style>
  <w:style w:type="paragraph" w:styleId="Heading8">
    <w:name w:val="heading 8"/>
    <w:basedOn w:val="Normal"/>
    <w:next w:val="BodyText"/>
    <w:qFormat/>
    <w:pPr>
      <w:outlineLvl w:val="7"/>
    </w:pPr>
    <w:rPr/>
  </w:style>
  <w:style w:type="paragraph" w:styleId="Heading9">
    <w:name w:val="heading 9"/>
    <w:basedOn w:val="Normal"/>
    <w:next w:val="BodyText"/>
    <w:qFormat/>
    <w:p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cs="Times New Roman"/>
      <w:b w:val="false"/>
      <w:i w:val="false"/>
      <w:color w:val="auto"/>
      <w:sz w:val="24"/>
      <w:u w:val="none"/>
    </w:rPr>
  </w:style>
  <w:style w:type="character" w:styleId="WW8Num13z0">
    <w:name w:val="WW8Num13z0"/>
    <w:qFormat/>
    <w:rPr>
      <w:rFonts w:ascii="Times New Roman" w:hAnsi="Times New Roman" w:cs="Times New Roman"/>
      <w:b/>
      <w:i w:val="false"/>
      <w:color w:val="auto"/>
      <w:sz w:val="24"/>
      <w:u w:val="none"/>
    </w:rPr>
  </w:style>
  <w:style w:type="character" w:styleId="WW8Num13z2">
    <w:name w:val="WW8Num13z2"/>
    <w:qFormat/>
    <w:rPr>
      <w:rFonts w:ascii="Arial" w:hAnsi="Arial" w:cs="Arial"/>
      <w:color w:val="auto"/>
      <w:sz w:val="16"/>
    </w:rPr>
  </w:style>
  <w:style w:type="character" w:styleId="WW8Num13z3">
    <w:name w:val="WW8Num13z3"/>
    <w:qFormat/>
    <w:rPr>
      <w:rFonts w:ascii="Arial" w:hAnsi="Arial" w:cs="Arial"/>
      <w:b w:val="false"/>
      <w:i w:val="false"/>
      <w:color w:val="auto"/>
      <w:sz w:val="16"/>
      <w:u w:val="none"/>
    </w:rPr>
  </w:style>
  <w:style w:type="character" w:styleId="WW8Num13z4">
    <w:name w:val="WW8Num13z4"/>
    <w:qFormat/>
    <w:rPr>
      <w:color w:val="auto"/>
    </w:rPr>
  </w:style>
  <w:style w:type="character" w:styleId="WW8Num14z0">
    <w:name w:val="WW8Num14z0"/>
    <w:qFormat/>
    <w:rPr>
      <w:rFonts w:ascii="Times New Roman" w:hAnsi="Times New Roman" w:cs="Times New Roman"/>
      <w:b/>
      <w:i w:val="false"/>
      <w:color w:val="auto"/>
      <w:sz w:val="24"/>
      <w:u w:val="none"/>
    </w:rPr>
  </w:style>
  <w:style w:type="character" w:styleId="WW8Num14z2">
    <w:name w:val="WW8Num14z2"/>
    <w:qFormat/>
    <w:rPr>
      <w:rFonts w:ascii="Arial" w:hAnsi="Arial" w:cs="Arial"/>
      <w:color w:val="auto"/>
      <w:sz w:val="16"/>
    </w:rPr>
  </w:style>
  <w:style w:type="character" w:styleId="WW8Num14z3">
    <w:name w:val="WW8Num14z3"/>
    <w:qFormat/>
    <w:rPr>
      <w:rFonts w:ascii="Arial" w:hAnsi="Arial" w:cs="Arial"/>
      <w:b w:val="false"/>
      <w:i w:val="false"/>
      <w:color w:val="auto"/>
      <w:sz w:val="16"/>
      <w:u w:val="none"/>
    </w:rPr>
  </w:style>
  <w:style w:type="character" w:styleId="WW8Num14z4">
    <w:name w:val="WW8Num14z4"/>
    <w:qFormat/>
    <w:rPr>
      <w:color w:val="auto"/>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Index1">
    <w:name w:val="index 1"/>
    <w:basedOn w:val="Normal"/>
    <w:next w:val="Normal"/>
    <w:pPr>
      <w:spacing w:before="0" w:after="240"/>
    </w:pPr>
    <w:rPr/>
  </w:style>
  <w:style w:type="paragraph" w:styleId="TOC1">
    <w:name w:val="toc 1"/>
    <w:basedOn w:val="Normal"/>
    <w:next w:val="Normal"/>
    <w:pPr>
      <w:spacing w:before="120" w:after="120"/>
      <w:jc w:val="start"/>
    </w:pPr>
    <w:rPr>
      <w:b/>
      <w:caps/>
      <w:sz w:val="20"/>
    </w:rPr>
  </w:style>
  <w:style w:type="paragraph" w:styleId="TOC2">
    <w:name w:val="toc 2"/>
    <w:basedOn w:val="Normal"/>
    <w:next w:val="Normal"/>
    <w:pPr>
      <w:ind w:hanging="0" w:start="240" w:end="0"/>
      <w:jc w:val="start"/>
    </w:pPr>
    <w:rPr>
      <w:smallCaps/>
      <w:sz w:val="20"/>
    </w:rPr>
  </w:style>
  <w:style w:type="paragraph" w:styleId="TOC3">
    <w:name w:val="toc 3"/>
    <w:basedOn w:val="Normal"/>
    <w:next w:val="Normal"/>
    <w:pPr>
      <w:ind w:hanging="0" w:start="480" w:end="0"/>
      <w:jc w:val="start"/>
    </w:pPr>
    <w:rPr>
      <w:i/>
      <w:sz w:val="20"/>
    </w:rPr>
  </w:style>
  <w:style w:type="paragraph" w:styleId="TOC4">
    <w:name w:val="toc 4"/>
    <w:basedOn w:val="Normal"/>
    <w:next w:val="Normal"/>
    <w:pPr>
      <w:ind w:hanging="0" w:start="720" w:end="0"/>
      <w:jc w:val="start"/>
    </w:pPr>
    <w:rPr>
      <w:sz w:val="18"/>
    </w:rPr>
  </w:style>
  <w:style w:type="paragraph" w:styleId="TOC5">
    <w:name w:val="toc 5"/>
    <w:basedOn w:val="Normal"/>
    <w:next w:val="Normal"/>
    <w:pPr>
      <w:ind w:hanging="0" w:start="960" w:end="0"/>
      <w:jc w:val="start"/>
    </w:pPr>
    <w:rPr>
      <w:sz w:val="18"/>
    </w:rPr>
  </w:style>
  <w:style w:type="paragraph" w:styleId="TOC6">
    <w:name w:val="toc 6"/>
    <w:basedOn w:val="Normal"/>
    <w:next w:val="Normal"/>
    <w:pPr>
      <w:ind w:hanging="0" w:start="1200" w:end="0"/>
      <w:jc w:val="start"/>
    </w:pPr>
    <w:rPr>
      <w:sz w:val="18"/>
    </w:rPr>
  </w:style>
  <w:style w:type="paragraph" w:styleId="TOC7">
    <w:name w:val="toc 7"/>
    <w:basedOn w:val="Normal"/>
    <w:next w:val="Normal"/>
    <w:pPr>
      <w:ind w:hanging="0" w:start="1440" w:end="0"/>
      <w:jc w:val="start"/>
    </w:pPr>
    <w:rPr>
      <w:sz w:val="18"/>
    </w:rPr>
  </w:style>
  <w:style w:type="paragraph" w:styleId="TOC9">
    <w:name w:val="toc 9"/>
    <w:basedOn w:val="Normal"/>
    <w:next w:val="Normal"/>
    <w:pPr>
      <w:ind w:hanging="0" w:start="1920" w:end="0"/>
      <w:jc w:val="start"/>
    </w:pPr>
    <w:rPr>
      <w:sz w:val="18"/>
    </w:rPr>
  </w:style>
  <w:style w:type="paragraph" w:styleId="FootnoteText">
    <w:name w:val="footnote text"/>
    <w:basedOn w:val="Normal"/>
    <w:pPr>
      <w:jc w:val="both"/>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outlineLvl w:val="1"/>
    </w:pPr>
    <w:rPr/>
  </w:style>
  <w:style w:type="paragraph" w:styleId="BlockText">
    <w:name w:val="Block Text"/>
    <w:basedOn w:val="Normal"/>
    <w:next w:val="Normal"/>
    <w:qFormat/>
    <w:pPr>
      <w:numPr>
        <w:ilvl w:val="0"/>
        <w:numId w:val="3"/>
      </w:numPr>
      <w:spacing w:before="0" w:after="240"/>
      <w:ind w:hanging="0" w:start="0" w:end="1440"/>
    </w:pPr>
    <w:rPr>
      <w:b/>
      <w:i/>
    </w:rPr>
  </w:style>
  <w:style w:type="paragraph" w:styleId="EnvelopeAddress">
    <w:name w:val="envelope address"/>
    <w:basedOn w:val="Normal"/>
    <w:pPr>
      <w:ind w:hanging="0" w:start="2880" w:end="0"/>
    </w:pPr>
    <w:rPr/>
  </w:style>
  <w:style w:type="paragraph" w:styleId="EndnoteText">
    <w:name w:val="endnote text"/>
    <w:basedOn w:val="Normal"/>
    <w:pPr>
      <w:jc w:val="both"/>
    </w:pPr>
    <w:rPr>
      <w:sz w:val="20"/>
    </w:rPr>
  </w:style>
  <w:style w:type="paragraph" w:styleId="Header">
    <w:name w:val="header"/>
    <w:basedOn w:val="Normal"/>
    <w:pPr>
      <w:tabs>
        <w:tab w:val="clear" w:pos="720"/>
        <w:tab w:val="center" w:pos="4680" w:leader="none"/>
        <w:tab w:val="right" w:pos="936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spacing w:before="120" w:after="0"/>
    </w:pPr>
    <w:rPr>
      <w:b/>
    </w:rPr>
  </w:style>
  <w:style w:type="paragraph" w:styleId="NormalIndent">
    <w:name w:val="Normal Indent"/>
    <w:basedOn w:val="Normal"/>
    <w:qFormat/>
    <w:pPr>
      <w:spacing w:before="0" w:after="240"/>
      <w:ind w:firstLine="1440" w:start="0" w:end="0"/>
    </w:pPr>
    <w:rPr/>
  </w:style>
  <w:style w:type="paragraph" w:styleId="EnvelopeReturn">
    <w:name w:val="envelope return"/>
    <w:basedOn w:val="Normal"/>
    <w:pPr/>
    <w:rPr>
      <w:sz w:val="20"/>
    </w:rPr>
  </w:style>
  <w:style w:type="paragraph" w:styleId="Index2">
    <w:name w:val="index 2"/>
    <w:basedOn w:val="Normal"/>
    <w:next w:val="Normal"/>
    <w:pPr>
      <w:numPr>
        <w:ilvl w:val="0"/>
        <w:numId w:val="2"/>
      </w:numPr>
      <w:spacing w:lineRule="auto" w:line="480" w:before="0" w:after="240"/>
    </w:pPr>
    <w:rPr/>
  </w:style>
  <w:style w:type="paragraph" w:styleId="BodyText2">
    <w:name w:val="Body Text 2"/>
    <w:basedOn w:val="Normal"/>
    <w:qFormat/>
    <w:pPr>
      <w:numPr>
        <w:ilvl w:val="0"/>
        <w:numId w:val="3"/>
      </w:numPr>
      <w:spacing w:before="0" w:after="240"/>
      <w:ind w:hanging="0" w:start="0" w:end="1440"/>
    </w:pPr>
    <w:rPr>
      <w:b/>
      <w:i/>
    </w:rPr>
  </w:style>
  <w:style w:type="paragraph" w:styleId="TOC8">
    <w:name w:val="toc 8"/>
    <w:basedOn w:val="Normal"/>
    <w:next w:val="Normal"/>
    <w:pPr>
      <w:ind w:hanging="0" w:start="1680" w:end="0"/>
      <w:jc w:val="start"/>
    </w:pPr>
    <w:rPr>
      <w:sz w:val="18"/>
    </w:rPr>
  </w:style>
  <w:style w:type="paragraph" w:styleId="BodyTextIndent">
    <w:name w:val="Body Text Indent"/>
    <w:basedOn w:val="Normal"/>
    <w:pPr>
      <w:spacing w:before="0" w:after="240"/>
      <w:ind w:hanging="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2001-01-26T15:55:00Z</dcterms:created>
  <dc:creator>Baker &amp; Botts, L.L.P.</dc:creator>
  <dc:description>HOU03:743839.6</dc:description>
  <dc:language>en-CA</dc:language>
  <cp:lastModifiedBy>203223</cp:lastModifiedBy>
  <cp:lastPrinted>2001-01-26T12:05:00Z</cp:lastPrinted>
  <dcterms:modified xsi:type="dcterms:W3CDTF">2001-01-26T15:55:00Z</dcterms:modified>
  <cp:revision>2</cp:revision>
  <dc:subject/>
  <dc:title>PUC DOCKET NO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