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1638"/>
        <w:gridCol w:w="6210"/>
        <w:gridCol w:w="1710"/>
        <w:gridCol w:w="18"/>
      </w:tblGrid>
      <w:tr>
        <w:trPr/>
        <w:tc>
          <w:tcPr>
            <w:tcW w:w="7848" w:type="dxa"/>
            <w:gridSpan w:val="2"/>
            <w:tcBorders/>
          </w:tcPr>
          <w:p>
            <w:pPr>
              <w:pStyle w:val="Heading1"/>
              <w:ind w:hanging="0" w:start="0"/>
              <w:rPr/>
            </w:pPr>
            <w:r>
              <w:rPr/>
              <w:t>NORTHERN PLAINS NATURAL GAS COMPANY</w:t>
            </w:r>
          </w:p>
        </w:tc>
        <w:tc>
          <w:tcPr>
            <w:tcW w:w="1728" w:type="dxa"/>
            <w:tcBorders/>
          </w:tcPr>
          <w:p>
            <w:pPr>
              <w:pStyle w:val="Heading1"/>
              <w:ind w:hanging="0" w:start="0"/>
              <w:rPr/>
            </w:pPr>
            <w:r>
              <w:rPr/>
              <w:t>Interoffice</w:t>
            </w:r>
          </w:p>
        </w:tc>
      </w:tr>
      <w:tr>
        <w:trPr/>
        <w:tc>
          <w:tcPr>
            <w:tcW w:w="7848" w:type="dxa"/>
            <w:gridSpan w:val="2"/>
            <w:tcBorders/>
          </w:tcPr>
          <w:p>
            <w:pPr>
              <w:pStyle w:val="Heading1"/>
              <w:ind w:hanging="0" w:start="0"/>
              <w:rPr/>
            </w:pPr>
            <w:r>
              <w:rPr/>
              <w:t>Internal Audit</w:t>
            </w:r>
          </w:p>
        </w:tc>
        <w:tc>
          <w:tcPr>
            <w:tcW w:w="1728" w:type="dxa"/>
            <w:tcBorders/>
          </w:tcPr>
          <w:p>
            <w:pPr>
              <w:pStyle w:val="Heading1"/>
              <w:ind w:hanging="0" w:start="0"/>
              <w:rPr/>
            </w:pPr>
            <w:r>
              <w:rPr/>
              <w:t>Memorandum</w:t>
            </w:r>
          </w:p>
        </w:tc>
      </w:tr>
      <w:tr>
        <w:trPr/>
        <w:tc>
          <w:tcPr>
            <w:tcW w:w="9576" w:type="dxa"/>
            <w:gridSpan w:val="3"/>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October 5, 2001</w:t>
            </w:r>
          </w:p>
        </w:tc>
      </w:tr>
      <w:tr>
        <w:trPr/>
        <w:tc>
          <w:tcPr>
            <w:tcW w:w="163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7920" w:type="dxa"/>
            <w:gridSpan w:val="2"/>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r>
        <w:trPr/>
        <w:tc>
          <w:tcPr>
            <w:tcW w:w="163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b/>
              </w:rPr>
            </w:pPr>
            <w:r>
              <w:rPr>
                <w:b/>
              </w:rPr>
              <w:t>TO:</w:t>
            </w:r>
          </w:p>
        </w:tc>
        <w:tc>
          <w:tcPr>
            <w:tcW w:w="7920" w:type="dxa"/>
            <w:gridSpan w:val="2"/>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Rod Hayslett</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James Saunders</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Bill Cordes</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Janet Place</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Jerry Peters</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Patty Wiederholt</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Marcia Anderson</w:t>
            </w:r>
          </w:p>
        </w:tc>
      </w:tr>
      <w:tr>
        <w:trPr/>
        <w:tc>
          <w:tcPr>
            <w:tcW w:w="163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7920" w:type="dxa"/>
            <w:gridSpan w:val="2"/>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r>
        <w:trPr/>
        <w:tc>
          <w:tcPr>
            <w:tcW w:w="163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b/>
              </w:rPr>
            </w:pPr>
            <w:r>
              <w:rPr>
                <w:b/>
              </w:rPr>
              <w:t>FROM:</w:t>
            </w:r>
          </w:p>
        </w:tc>
        <w:tc>
          <w:tcPr>
            <w:tcW w:w="7920" w:type="dxa"/>
            <w:gridSpan w:val="2"/>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Doug Gunthert</w:t>
            </w:r>
          </w:p>
        </w:tc>
      </w:tr>
      <w:tr>
        <w:trPr/>
        <w:tc>
          <w:tcPr>
            <w:tcW w:w="163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7920" w:type="dxa"/>
            <w:gridSpan w:val="2"/>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r>
        <w:trPr/>
        <w:tc>
          <w:tcPr>
            <w:tcW w:w="163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b/>
              </w:rPr>
            </w:pPr>
            <w:r>
              <w:rPr>
                <w:b/>
              </w:rPr>
              <w:t>Subject:</w:t>
            </w:r>
          </w:p>
        </w:tc>
        <w:tc>
          <w:tcPr>
            <w:tcW w:w="7920" w:type="dxa"/>
            <w:gridSpan w:val="2"/>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Final Report of Audit of Conflicts of Interest and Business Conduct, 2001 – NBPLP </w:t>
            </w:r>
          </w:p>
        </w:tc>
      </w:tr>
      <w:tr>
        <w:trPr/>
        <w:tc>
          <w:tcPr>
            <w:tcW w:w="9576" w:type="dxa"/>
            <w:gridSpan w:val="3"/>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bl>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Our report for the 2001 audit of conflicts of interest and business conduct addressed activities related to Northern Border Pipeline Company (NBPL) only.  Northern Border Partners, L.P. (NBPLP) operations are managed by employees of Northern Plains Natural Gas Company (NPNG), NBP Services Corporation (which includes employees operating the Crestone companies) and the Black Mesa companies.  In addition to examinations of NBPL activities, the scope of the audit also included a limited review of compliance with Securities and Exchange Commission (SEC) laws and regulations regarding the disclosure of information for NBPLP.  Results of the review indicate that NPNG and Enron Corp. (Enron) personnel, as part of their administrative responsibilities for NBPLP, ensure the partnership complies with these laws by properly filing required reports with the SEC.  NPNG personnel prepare the required reports with assistance from Enron.  This includes the distribution and responses to a questionnaire designed to obtain appropriate disclosure information required for the SEC reports.  This questionnaire is required of all NBPLP executives, members of the Partnership Policy Committee and the Audit Committee.  We reviewed responses to the questionnaires prepared for the 2000 SEC 10K Report and found that all appropriate items appeared to be disclosed.  We also reviewed responses of conflict of interest questionnaires from selected employees of NBP Services Corporation and the Black Mesa companies.  See the NBPL audit report for comments regarding how employees are selected and the review conducted related to these questionnaires.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Heading5"/>
        <w:ind w:hanging="0" w:start="0"/>
        <w:rPr/>
      </w:pPr>
      <w:r>
        <w:rPr/>
        <w:t>SCOPE</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The additional audit work included: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hanging="360" w:start="792" w:end="0"/>
        <w:rPr/>
      </w:pPr>
      <w:r>
        <w:rPr/>
        <w:t xml:space="preserve">Reviewing applicable NBPLP policies and procedures.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start="792" w:end="0"/>
        <w:rPr/>
      </w:pPr>
      <w:r>
        <w:rP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hanging="360" w:start="792" w:end="0"/>
        <w:rPr/>
      </w:pPr>
      <w:r>
        <w:rPr/>
        <w:t xml:space="preserve">Discussions with appropriate NPNG personnel.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start="792" w:end="0"/>
        <w:rPr/>
      </w:pPr>
      <w:r>
        <w:rP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hanging="360" w:start="792" w:end="0"/>
        <w:rPr/>
      </w:pPr>
      <w:r>
        <w:rPr/>
        <w:t xml:space="preserve">Reviewing the distribution and responses to a questionnaire obtained in early 2001 to obtain appropriate disclosure information used in SEC reports for 2000.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start="792" w:end="0"/>
        <w:rPr/>
      </w:pPr>
      <w:r>
        <w:rP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hanging="360" w:start="792" w:end="0"/>
        <w:rPr/>
      </w:pPr>
      <w:r>
        <w:rPr/>
        <w:t xml:space="preserve">Comparing selected responses from the questionnaire obtained in 2001 to the SEC 10K reports for 2000.  </w:t>
        <w:br/>
      </w:r>
    </w:p>
    <w:p>
      <w:pPr>
        <w:pStyle w:val="Normal"/>
        <w:numPr>
          <w:ilvl w:val="0"/>
          <w:numId w:val="2"/>
        </w:numPr>
        <w:tabs>
          <w:tab w:val="clear" w:pos="72"/>
          <w:tab w:val="clear" w:pos="144"/>
          <w:tab w:val="clear" w:pos="216"/>
          <w:tab w:val="clear" w:pos="288"/>
          <w:tab w:val="clear" w:pos="360"/>
          <w:tab w:val="clear" w:pos="432"/>
          <w:tab w:val="clear" w:pos="504"/>
          <w:tab w:val="clear" w:pos="576"/>
          <w:tab w:val="clear" w:pos="648"/>
          <w:tab w:val="clear" w:pos="720"/>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792" w:leader="none"/>
        </w:tabs>
        <w:ind w:hanging="360" w:start="792" w:end="0"/>
        <w:rPr/>
      </w:pPr>
      <w:r>
        <w:rPr/>
        <w:t xml:space="preserve">Reviewing the distribution and responses to conflict of interest questionnaires to selected NBP Services Corp. employees and Black Mesa employees distributed in January 2001 for the year 2000.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u w:val="single"/>
        </w:rPr>
      </w:pPr>
      <w:r>
        <w:rPr>
          <w:u w:val="single"/>
        </w:rPr>
        <w:t>FINDINGS/RECOMMENDATIONS</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u w:val="single"/>
        </w:rPr>
      </w:pPr>
      <w:r>
        <w:rPr>
          <w:u w:val="single"/>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u w:val="single"/>
        </w:rPr>
        <w:t>Business Conduct Policy, NBPLP</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BodyTextIndent"/>
        <w:rPr/>
      </w:pPr>
      <w:r>
        <w:rPr/>
        <w:t xml:space="preserve">Recommendation: During last year’s audit, the NPNG Law department agreed to issue a Business Conduct Policy in the NBPLP and NBP Services Corporation Policy and Procedure Manual.  However, this new policy has not been drafted.  We recommend that the policy be written.  </w:t>
      </w:r>
    </w:p>
    <w:p>
      <w:pPr>
        <w:pStyle w:val="BodyTextIndent"/>
        <w:rPr/>
      </w:pPr>
      <w:r>
        <w:rPr/>
      </w:r>
    </w:p>
    <w:p>
      <w:pPr>
        <w:pStyle w:val="BodyTextIndent"/>
        <w:ind w:start="864" w:end="0"/>
        <w:rPr/>
      </w:pPr>
      <w:r>
        <w:rPr/>
        <w:t xml:space="preserve">Action Plan/Management Comment: Per discussion with Janet Place, the Vice President and General Counsel, this policy will be written by December 31, 2001.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Handwriting">
    <w:charset w:val="00" w:characterSet="windows-1252"/>
    <w:family w:val="script"/>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42" w:leader="none"/>
      </w:tabs>
      <w:rPr/>
    </w:pPr>
    <w:r>
      <w:rPr>
        <w:sz w:val="16"/>
        <w:u w:val="single"/>
      </w:rPr>
      <w:t>Audit Report for NBPLP Conflicts of Interest/Business Conduct: (Continued)</w:t>
    </w:r>
    <w:r>
      <w:rPr>
        <w:sz w:val="16"/>
      </w:rPr>
      <w:t xml:space="preserve">: </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432"/>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 w:leader="none"/>
        <w:tab w:val="left" w:pos="144" w:leader="none"/>
        <w:tab w:val="left" w:pos="216" w:leader="none"/>
        <w:tab w:val="left" w:pos="288" w:leader="none"/>
        <w:tab w:val="left" w:pos="360" w:leader="none"/>
        <w:tab w:val="left" w:pos="432" w:leader="none"/>
        <w:tab w:val="left" w:pos="504" w:leader="none"/>
        <w:tab w:val="left" w:pos="576" w:leader="none"/>
        <w:tab w:val="left" w:pos="648" w:leader="none"/>
        <w:tab w:val="left" w:pos="720" w:leader="none"/>
        <w:tab w:val="left" w:pos="792" w:leader="none"/>
        <w:tab w:val="left" w:pos="864" w:leader="none"/>
        <w:tab w:val="left" w:pos="936" w:leader="none"/>
        <w:tab w:val="left" w:pos="1008" w:leader="none"/>
        <w:tab w:val="left" w:pos="1080" w:leader="none"/>
        <w:tab w:val="left" w:pos="1152" w:leader="none"/>
        <w:tab w:val="left" w:pos="1224" w:leader="none"/>
        <w:tab w:val="left" w:pos="1296" w:leader="none"/>
        <w:tab w:val="left" w:pos="1368" w:leader="none"/>
        <w:tab w:val="left" w:pos="1440" w:leader="none"/>
        <w:tab w:val="left" w:pos="1512" w:leader="none"/>
        <w:tab w:val="left" w:pos="1584"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pPr>
    <w:rPr>
      <w:b/>
    </w:rPr>
  </w:style>
  <w:style w:type="paragraph" w:styleId="Heading2">
    <w:name w:val="heading 2"/>
    <w:basedOn w:val="Normal"/>
    <w:next w:val="Normal"/>
    <w:qFormat/>
    <w:pPr>
      <w:keepNext w:val="true"/>
      <w:numPr>
        <w:ilvl w:val="1"/>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outlineLvl w:val="1"/>
    </w:pPr>
    <w:rPr>
      <w:b/>
    </w:rPr>
  </w:style>
  <w:style w:type="paragraph" w:styleId="Heading3">
    <w:name w:val="heading 3"/>
    <w:basedOn w:val="Normal"/>
    <w:next w:val="Normal"/>
    <w:qFormat/>
    <w:pPr>
      <w:keepNext w:val="true"/>
      <w:numPr>
        <w:ilvl w:val="2"/>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outlineLvl w:val="2"/>
    </w:pPr>
    <w:rPr>
      <w:b/>
      <w:u w:val="single"/>
    </w:rPr>
  </w:style>
  <w:style w:type="paragraph" w:styleId="Heading4">
    <w:name w:val="heading 4"/>
    <w:basedOn w:val="Normal"/>
    <w:next w:val="Normal"/>
    <w:qFormat/>
    <w:pPr>
      <w:keepNext w:val="true"/>
      <w:numPr>
        <w:ilvl w:val="3"/>
        <w:numId w:val="1"/>
      </w:numPr>
      <w:outlineLvl w:val="3"/>
    </w:pPr>
    <w:rPr>
      <w:rFonts w:ascii="Lucida Handwriting" w:hAnsi="Lucida Handwriting" w:cs="Lucida Handwriting"/>
      <w:sz w:val="52"/>
    </w:rPr>
  </w:style>
  <w:style w:type="paragraph" w:styleId="Heading5">
    <w:name w:val="heading 5"/>
    <w:basedOn w:val="Normal"/>
    <w:next w:val="Normal"/>
    <w:qFormat/>
    <w:pPr>
      <w:keepNext w:val="true"/>
      <w:numPr>
        <w:ilvl w:val="4"/>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4"/>
    </w:pPr>
    <w:rPr>
      <w:u w:val="single"/>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986" w:leader="none"/>
        <w:tab w:val="right" w:pos="9972" w:leader="none"/>
      </w:tabs>
    </w:pPr>
    <w:rPr/>
  </w:style>
  <w:style w:type="paragraph" w:styleId="Header">
    <w:name w:val="header"/>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320" w:leader="none"/>
        <w:tab w:val="right" w:pos="8640" w:leader="none"/>
      </w:tabs>
    </w:pPr>
    <w:rPr/>
  </w:style>
  <w:style w:type="paragraph" w:styleId="Footer">
    <w:name w:val="footer"/>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hanging="0" w:start="43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Audit Report.dot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2001-10-05T15:47:00Z</dcterms:created>
  <dc:creator>Northern Border-Doug Gunthert</dc:creator>
  <dc:description/>
  <dc:language>en-CA</dc:language>
  <cp:lastModifiedBy>dgunthe</cp:lastModifiedBy>
  <cp:lastPrinted>2001-09-20T09:06:00Z</cp:lastPrinted>
  <dcterms:modified xsi:type="dcterms:W3CDTF">2001-10-05T16:06:00Z</dcterms:modified>
  <cp:revision>12</cp:revision>
  <dc:subject/>
  <dc:title>NORTHERN PLAINS NATURAL GAS COMPANY</dc:title>
</cp:coreProperties>
</file>