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0" w:after="0"/>
        <w:rPr/>
      </w:pPr>
      <w:r>
        <w:rPr/>
        <w:t>Description</w:t>
      </w:r>
    </w:p>
    <w:p>
      <w:pPr>
        <w:pStyle w:val="Header"/>
        <w:tabs>
          <w:tab w:val="clear" w:pos="4320"/>
          <w:tab w:val="clear" w:pos="8640"/>
        </w:tabs>
        <w:rPr/>
      </w:pPr>
      <w:r>
        <w:rPr/>
      </w:r>
    </w:p>
    <w:p>
      <w:pPr>
        <w:pStyle w:val="Header"/>
        <w:tabs>
          <w:tab w:val="clear" w:pos="4320"/>
          <w:tab w:val="clear" w:pos="8640"/>
        </w:tabs>
        <w:rPr/>
      </w:pPr>
      <w:r>
        <w:rPr/>
        <w:t>The 8:00 AM process is to be used for shippers who have contracted for storage services with NNG.</w:t>
      </w:r>
    </w:p>
    <w:p>
      <w:pPr>
        <w:pStyle w:val="Header"/>
        <w:tabs>
          <w:tab w:val="clear" w:pos="4320"/>
          <w:tab w:val="clear" w:pos="8640"/>
        </w:tabs>
        <w:rPr/>
      </w:pPr>
      <w:r>
        <w:rPr/>
      </w:r>
    </w:p>
    <w:p>
      <w:pPr>
        <w:pStyle w:val="Normal"/>
        <w:rPr/>
      </w:pPr>
      <w:r>
        <w:rPr/>
      </w:r>
    </w:p>
    <w:p>
      <w:pPr>
        <w:pStyle w:val="Heading1"/>
        <w:rPr/>
      </w:pPr>
      <w:r>
        <w:rPr/>
        <w:t>Contacts</w:t>
      </w:r>
    </w:p>
    <w:tbl>
      <w:tblPr>
        <w:tblW w:w="8730" w:type="dxa"/>
        <w:jc w:val="start"/>
        <w:tblInd w:w="108" w:type="dxa"/>
        <w:tblLayout w:type="fixed"/>
        <w:tblCellMar>
          <w:top w:w="0" w:type="dxa"/>
          <w:start w:w="108" w:type="dxa"/>
          <w:bottom w:w="0" w:type="dxa"/>
          <w:end w:w="108" w:type="dxa"/>
        </w:tblCellMar>
      </w:tblPr>
      <w:tblGrid>
        <w:gridCol w:w="1890"/>
        <w:gridCol w:w="1800"/>
        <w:gridCol w:w="1440"/>
        <w:gridCol w:w="1800"/>
        <w:gridCol w:w="1800"/>
      </w:tblGrid>
      <w:tr>
        <w:trPr>
          <w:trHeight w:val="432" w:hRule="atLeast"/>
        </w:trPr>
        <w:tc>
          <w:tcPr>
            <w:tcW w:w="1890" w:type="dxa"/>
            <w:tcBorders/>
          </w:tcPr>
          <w:p>
            <w:pPr>
              <w:pStyle w:val="Normal"/>
              <w:tabs>
                <w:tab w:val="clear" w:pos="720"/>
                <w:tab w:val="left" w:pos="1080" w:leader="none"/>
              </w:tabs>
              <w:rPr>
                <w:sz w:val="20"/>
                <w:u w:val="single"/>
              </w:rPr>
            </w:pPr>
            <w:r>
              <w:rPr>
                <w:sz w:val="20"/>
                <w:u w:val="single"/>
              </w:rPr>
              <w:t>Department</w:t>
            </w:r>
          </w:p>
        </w:tc>
        <w:tc>
          <w:tcPr>
            <w:tcW w:w="1800" w:type="dxa"/>
            <w:tcBorders/>
          </w:tcPr>
          <w:p>
            <w:pPr>
              <w:pStyle w:val="Heading3"/>
              <w:ind w:hanging="0" w:start="0"/>
              <w:rPr>
                <w:rFonts w:ascii="Arial" w:hAnsi="Arial" w:cs="Arial"/>
                <w:sz w:val="20"/>
              </w:rPr>
            </w:pPr>
            <w:r>
              <w:rPr>
                <w:rFonts w:cs="Arial" w:ascii="Arial" w:hAnsi="Arial"/>
                <w:sz w:val="20"/>
              </w:rPr>
              <w:t>Name</w:t>
            </w:r>
          </w:p>
        </w:tc>
        <w:tc>
          <w:tcPr>
            <w:tcW w:w="1440" w:type="dxa"/>
            <w:tcBorders/>
          </w:tcPr>
          <w:p>
            <w:pPr>
              <w:pStyle w:val="Heading3"/>
              <w:ind w:hanging="0" w:start="0"/>
              <w:rPr>
                <w:rFonts w:ascii="Arial" w:hAnsi="Arial" w:cs="Arial"/>
                <w:sz w:val="20"/>
              </w:rPr>
            </w:pPr>
            <w:r>
              <w:rPr>
                <w:rFonts w:cs="Arial" w:ascii="Arial" w:hAnsi="Arial"/>
                <w:sz w:val="20"/>
              </w:rPr>
              <w:t>Title</w:t>
            </w:r>
          </w:p>
        </w:tc>
        <w:tc>
          <w:tcPr>
            <w:tcW w:w="1800" w:type="dxa"/>
            <w:tcBorders/>
          </w:tcPr>
          <w:p>
            <w:pPr>
              <w:pStyle w:val="Heading4"/>
              <w:ind w:hanging="0" w:start="0"/>
              <w:jc w:val="start"/>
              <w:rPr>
                <w:sz w:val="20"/>
                <w:u w:val="single"/>
              </w:rPr>
            </w:pPr>
            <w:r>
              <w:rPr>
                <w:sz w:val="20"/>
                <w:u w:val="single"/>
              </w:rPr>
              <w:t>Phone</w:t>
            </w:r>
          </w:p>
        </w:tc>
        <w:tc>
          <w:tcPr>
            <w:tcW w:w="1800" w:type="dxa"/>
            <w:tcBorders/>
          </w:tcPr>
          <w:p>
            <w:pPr>
              <w:pStyle w:val="Heading4"/>
              <w:ind w:hanging="0" w:start="0"/>
              <w:jc w:val="start"/>
              <w:rPr>
                <w:sz w:val="20"/>
                <w:u w:val="single"/>
              </w:rPr>
            </w:pPr>
            <w:r>
              <w:rPr>
                <w:sz w:val="20"/>
                <w:u w:val="single"/>
              </w:rPr>
              <w:t>Phone</w:t>
            </w:r>
          </w:p>
        </w:tc>
      </w:tr>
      <w:tr>
        <w:trPr>
          <w:trHeight w:val="120" w:hRule="exact"/>
        </w:trPr>
        <w:tc>
          <w:tcPr>
            <w:tcW w:w="1890" w:type="dxa"/>
            <w:tcBorders/>
          </w:tcPr>
          <w:p>
            <w:pPr>
              <w:pStyle w:val="Normal"/>
              <w:tabs>
                <w:tab w:val="clear" w:pos="720"/>
                <w:tab w:val="left" w:pos="1080" w:leader="none"/>
              </w:tabs>
              <w:snapToGrid w:val="false"/>
              <w:rPr>
                <w:sz w:val="20"/>
                <w:u w:val="single"/>
              </w:rPr>
            </w:pPr>
            <w:r>
              <w:rPr>
                <w:sz w:val="20"/>
                <w:u w:val="single"/>
              </w:rPr>
            </w:r>
          </w:p>
        </w:tc>
        <w:tc>
          <w:tcPr>
            <w:tcW w:w="1800" w:type="dxa"/>
            <w:tcBorders/>
          </w:tcPr>
          <w:p>
            <w:pPr>
              <w:pStyle w:val="Normal"/>
              <w:tabs>
                <w:tab w:val="clear" w:pos="720"/>
                <w:tab w:val="left" w:pos="1080" w:leader="none"/>
              </w:tabs>
              <w:snapToGrid w:val="false"/>
              <w:jc w:val="both"/>
              <w:rPr>
                <w:sz w:val="20"/>
              </w:rPr>
            </w:pPr>
            <w:r>
              <w:rPr>
                <w:sz w:val="20"/>
              </w:rPr>
            </w:r>
          </w:p>
        </w:tc>
        <w:tc>
          <w:tcPr>
            <w:tcW w:w="1440" w:type="dxa"/>
            <w:tcBorders/>
          </w:tcPr>
          <w:p>
            <w:pPr>
              <w:pStyle w:val="Normal"/>
              <w:tabs>
                <w:tab w:val="clear" w:pos="720"/>
                <w:tab w:val="left" w:pos="1080" w:leader="none"/>
              </w:tabs>
              <w:snapToGrid w:val="false"/>
              <w:rPr>
                <w:sz w:val="20"/>
              </w:rPr>
            </w:pPr>
            <w:r>
              <w:rPr>
                <w:sz w:val="20"/>
              </w:rPr>
            </w:r>
          </w:p>
        </w:tc>
        <w:tc>
          <w:tcPr>
            <w:tcW w:w="1800" w:type="dxa"/>
            <w:tcBorders/>
          </w:tcPr>
          <w:p>
            <w:pPr>
              <w:pStyle w:val="Normal"/>
              <w:tabs>
                <w:tab w:val="clear" w:pos="720"/>
                <w:tab w:val="left" w:pos="1080" w:leader="none"/>
              </w:tabs>
              <w:snapToGrid w:val="false"/>
              <w:jc w:val="center"/>
              <w:rPr>
                <w:sz w:val="20"/>
              </w:rPr>
            </w:pPr>
            <w:r>
              <w:rPr>
                <w:sz w:val="20"/>
              </w:rPr>
            </w:r>
          </w:p>
        </w:tc>
        <w:tc>
          <w:tcPr>
            <w:tcW w:w="1800" w:type="dxa"/>
            <w:tcBorders/>
          </w:tcPr>
          <w:p>
            <w:pPr>
              <w:pStyle w:val="Normal"/>
              <w:tabs>
                <w:tab w:val="clear" w:pos="720"/>
                <w:tab w:val="left" w:pos="1080" w:leader="none"/>
              </w:tabs>
              <w:snapToGrid w:val="false"/>
              <w:jc w:val="center"/>
              <w:rPr>
                <w:sz w:val="20"/>
              </w:rPr>
            </w:pPr>
            <w:r>
              <w:rPr>
                <w:sz w:val="20"/>
              </w:rPr>
            </w:r>
          </w:p>
        </w:tc>
      </w:tr>
      <w:tr>
        <w:trPr>
          <w:trHeight w:val="280" w:hRule="atLeast"/>
        </w:trPr>
        <w:tc>
          <w:tcPr>
            <w:tcW w:w="1890" w:type="dxa"/>
            <w:tcBorders/>
          </w:tcPr>
          <w:p>
            <w:pPr>
              <w:pStyle w:val="Normal"/>
              <w:tabs>
                <w:tab w:val="clear" w:pos="720"/>
                <w:tab w:val="left" w:pos="1080" w:leader="none"/>
              </w:tabs>
              <w:rPr>
                <w:sz w:val="20"/>
              </w:rPr>
            </w:pPr>
            <w:r>
              <w:rPr>
                <w:sz w:val="20"/>
              </w:rPr>
              <w:t>Market Services</w:t>
            </w:r>
          </w:p>
        </w:tc>
        <w:tc>
          <w:tcPr>
            <w:tcW w:w="1800" w:type="dxa"/>
            <w:tcBorders/>
          </w:tcPr>
          <w:p>
            <w:pPr>
              <w:pStyle w:val="Normal"/>
              <w:tabs>
                <w:tab w:val="clear" w:pos="720"/>
                <w:tab w:val="left" w:pos="1080" w:leader="none"/>
              </w:tabs>
              <w:rPr>
                <w:sz w:val="20"/>
              </w:rPr>
            </w:pPr>
            <w:r>
              <w:rPr>
                <w:sz w:val="20"/>
              </w:rPr>
              <w:t>Jan Moore</w:t>
            </w:r>
          </w:p>
        </w:tc>
        <w:tc>
          <w:tcPr>
            <w:tcW w:w="1440" w:type="dxa"/>
            <w:tcBorders/>
          </w:tcPr>
          <w:p>
            <w:pPr>
              <w:pStyle w:val="Normal"/>
              <w:tabs>
                <w:tab w:val="clear" w:pos="720"/>
                <w:tab w:val="left" w:pos="1080" w:leader="none"/>
              </w:tabs>
              <w:rPr>
                <w:sz w:val="20"/>
              </w:rPr>
            </w:pPr>
            <w:r>
              <w:rPr>
                <w:sz w:val="20"/>
              </w:rPr>
              <w:t>Coordinator</w:t>
            </w:r>
          </w:p>
        </w:tc>
        <w:tc>
          <w:tcPr>
            <w:tcW w:w="1800" w:type="dxa"/>
            <w:tcBorders/>
          </w:tcPr>
          <w:p>
            <w:pPr>
              <w:pStyle w:val="Normal"/>
              <w:tabs>
                <w:tab w:val="clear" w:pos="720"/>
                <w:tab w:val="left" w:pos="1080" w:leader="none"/>
              </w:tabs>
              <w:rPr>
                <w:sz w:val="20"/>
              </w:rPr>
            </w:pPr>
            <w:r>
              <w:rPr>
                <w:sz w:val="20"/>
              </w:rPr>
              <w:t>(713) 853-3025</w:t>
            </w:r>
          </w:p>
        </w:tc>
        <w:tc>
          <w:tcPr>
            <w:tcW w:w="1800" w:type="dxa"/>
            <w:tcBorders/>
          </w:tcPr>
          <w:p>
            <w:pPr>
              <w:pStyle w:val="Normal"/>
              <w:tabs>
                <w:tab w:val="clear" w:pos="720"/>
                <w:tab w:val="left" w:pos="1080" w:leader="none"/>
              </w:tabs>
              <w:rPr>
                <w:sz w:val="20"/>
              </w:rPr>
            </w:pPr>
            <w:r>
              <w:rPr>
                <w:sz w:val="20"/>
              </w:rPr>
              <w:t>1-800-503-0482</w:t>
            </w:r>
          </w:p>
        </w:tc>
      </w:tr>
      <w:tr>
        <w:trPr>
          <w:trHeight w:val="120" w:hRule="exact"/>
        </w:trPr>
        <w:tc>
          <w:tcPr>
            <w:tcW w:w="1890" w:type="dxa"/>
            <w:tcBorders/>
          </w:tcPr>
          <w:p>
            <w:pPr>
              <w:pStyle w:val="Normal"/>
              <w:tabs>
                <w:tab w:val="clear" w:pos="720"/>
                <w:tab w:val="left" w:pos="1080" w:leader="none"/>
              </w:tabs>
              <w:snapToGrid w:val="false"/>
              <w:rPr>
                <w:sz w:val="20"/>
              </w:rPr>
            </w:pPr>
            <w:r>
              <w:rPr>
                <w:sz w:val="20"/>
              </w:rPr>
            </w:r>
          </w:p>
        </w:tc>
        <w:tc>
          <w:tcPr>
            <w:tcW w:w="1800" w:type="dxa"/>
            <w:tcBorders/>
          </w:tcPr>
          <w:p>
            <w:pPr>
              <w:pStyle w:val="Normal"/>
              <w:tabs>
                <w:tab w:val="clear" w:pos="720"/>
                <w:tab w:val="left" w:pos="1080" w:leader="none"/>
              </w:tabs>
              <w:snapToGrid w:val="false"/>
              <w:jc w:val="both"/>
              <w:rPr>
                <w:sz w:val="20"/>
              </w:rPr>
            </w:pPr>
            <w:r>
              <w:rPr>
                <w:sz w:val="20"/>
              </w:rPr>
            </w:r>
          </w:p>
        </w:tc>
        <w:tc>
          <w:tcPr>
            <w:tcW w:w="1440" w:type="dxa"/>
            <w:tcBorders/>
          </w:tcPr>
          <w:p>
            <w:pPr>
              <w:pStyle w:val="Normal"/>
              <w:tabs>
                <w:tab w:val="clear" w:pos="720"/>
                <w:tab w:val="left" w:pos="1080" w:leader="none"/>
              </w:tabs>
              <w:snapToGrid w:val="false"/>
              <w:rPr>
                <w:sz w:val="20"/>
              </w:rPr>
            </w:pPr>
            <w:r>
              <w:rPr>
                <w:sz w:val="20"/>
              </w:rPr>
            </w:r>
          </w:p>
        </w:tc>
        <w:tc>
          <w:tcPr>
            <w:tcW w:w="1800" w:type="dxa"/>
            <w:tcBorders/>
          </w:tcPr>
          <w:p>
            <w:pPr>
              <w:pStyle w:val="Normal"/>
              <w:tabs>
                <w:tab w:val="clear" w:pos="720"/>
                <w:tab w:val="left" w:pos="1080" w:leader="none"/>
              </w:tabs>
              <w:snapToGrid w:val="false"/>
              <w:rPr>
                <w:sz w:val="20"/>
              </w:rPr>
            </w:pPr>
            <w:r>
              <w:rPr>
                <w:sz w:val="20"/>
              </w:rPr>
            </w:r>
          </w:p>
        </w:tc>
        <w:tc>
          <w:tcPr>
            <w:tcW w:w="1800" w:type="dxa"/>
            <w:tcBorders/>
          </w:tcPr>
          <w:p>
            <w:pPr>
              <w:pStyle w:val="Normal"/>
              <w:tabs>
                <w:tab w:val="clear" w:pos="720"/>
                <w:tab w:val="left" w:pos="1080" w:leader="none"/>
              </w:tabs>
              <w:snapToGrid w:val="false"/>
              <w:jc w:val="center"/>
              <w:rPr>
                <w:sz w:val="20"/>
              </w:rPr>
            </w:pPr>
            <w:r>
              <w:rPr>
                <w:sz w:val="20"/>
              </w:rPr>
            </w:r>
          </w:p>
        </w:tc>
      </w:tr>
      <w:tr>
        <w:trPr>
          <w:trHeight w:val="280" w:hRule="atLeast"/>
        </w:trPr>
        <w:tc>
          <w:tcPr>
            <w:tcW w:w="1890" w:type="dxa"/>
            <w:tcBorders/>
          </w:tcPr>
          <w:p>
            <w:pPr>
              <w:pStyle w:val="Normal"/>
              <w:tabs>
                <w:tab w:val="clear" w:pos="720"/>
                <w:tab w:val="left" w:pos="1080" w:leader="none"/>
              </w:tabs>
              <w:rPr>
                <w:sz w:val="20"/>
              </w:rPr>
            </w:pPr>
            <w:r>
              <w:rPr>
                <w:sz w:val="20"/>
              </w:rPr>
              <w:t>Market Services</w:t>
            </w:r>
          </w:p>
        </w:tc>
        <w:tc>
          <w:tcPr>
            <w:tcW w:w="1800" w:type="dxa"/>
            <w:tcBorders/>
          </w:tcPr>
          <w:p>
            <w:pPr>
              <w:pStyle w:val="Normal"/>
              <w:tabs>
                <w:tab w:val="clear" w:pos="720"/>
                <w:tab w:val="left" w:pos="1080" w:leader="none"/>
              </w:tabs>
              <w:rPr>
                <w:sz w:val="20"/>
              </w:rPr>
            </w:pPr>
            <w:r>
              <w:rPr>
                <w:sz w:val="20"/>
              </w:rPr>
              <w:t>John Buchanan</w:t>
            </w:r>
          </w:p>
        </w:tc>
        <w:tc>
          <w:tcPr>
            <w:tcW w:w="1440" w:type="dxa"/>
            <w:tcBorders/>
          </w:tcPr>
          <w:p>
            <w:pPr>
              <w:pStyle w:val="Normal"/>
              <w:tabs>
                <w:tab w:val="clear" w:pos="720"/>
                <w:tab w:val="left" w:pos="1080" w:leader="none"/>
              </w:tabs>
              <w:rPr>
                <w:sz w:val="20"/>
              </w:rPr>
            </w:pPr>
            <w:r>
              <w:rPr>
                <w:sz w:val="20"/>
              </w:rPr>
              <w:t>Coordinator</w:t>
            </w:r>
          </w:p>
        </w:tc>
        <w:tc>
          <w:tcPr>
            <w:tcW w:w="1800" w:type="dxa"/>
            <w:tcBorders/>
          </w:tcPr>
          <w:p>
            <w:pPr>
              <w:pStyle w:val="Normal"/>
              <w:tabs>
                <w:tab w:val="clear" w:pos="720"/>
                <w:tab w:val="left" w:pos="1080" w:leader="none"/>
              </w:tabs>
              <w:rPr>
                <w:sz w:val="20"/>
              </w:rPr>
            </w:pPr>
            <w:r>
              <w:rPr>
                <w:sz w:val="20"/>
              </w:rPr>
              <w:t>(713) 853-7429</w:t>
            </w:r>
          </w:p>
        </w:tc>
        <w:tc>
          <w:tcPr>
            <w:tcW w:w="1800" w:type="dxa"/>
            <w:tcBorders/>
          </w:tcPr>
          <w:p>
            <w:pPr>
              <w:pStyle w:val="Normal"/>
              <w:tabs>
                <w:tab w:val="clear" w:pos="720"/>
                <w:tab w:val="left" w:pos="1080" w:leader="none"/>
              </w:tabs>
              <w:rPr>
                <w:sz w:val="20"/>
              </w:rPr>
            </w:pPr>
            <w:r>
              <w:rPr>
                <w:sz w:val="20"/>
              </w:rPr>
              <w:t>1-888-377-1073</w:t>
            </w:r>
          </w:p>
        </w:tc>
      </w:tr>
      <w:tr>
        <w:trPr>
          <w:trHeight w:val="120" w:hRule="exact"/>
        </w:trPr>
        <w:tc>
          <w:tcPr>
            <w:tcW w:w="1890" w:type="dxa"/>
            <w:tcBorders/>
          </w:tcPr>
          <w:p>
            <w:pPr>
              <w:pStyle w:val="Normal"/>
              <w:tabs>
                <w:tab w:val="clear" w:pos="720"/>
                <w:tab w:val="left" w:pos="1080" w:leader="none"/>
              </w:tabs>
              <w:snapToGrid w:val="false"/>
              <w:rPr>
                <w:sz w:val="20"/>
              </w:rPr>
            </w:pPr>
            <w:r>
              <w:rPr>
                <w:sz w:val="20"/>
              </w:rPr>
            </w:r>
          </w:p>
        </w:tc>
        <w:tc>
          <w:tcPr>
            <w:tcW w:w="1800" w:type="dxa"/>
            <w:tcBorders/>
          </w:tcPr>
          <w:p>
            <w:pPr>
              <w:pStyle w:val="Normal"/>
              <w:tabs>
                <w:tab w:val="clear" w:pos="720"/>
                <w:tab w:val="left" w:pos="1080" w:leader="none"/>
              </w:tabs>
              <w:snapToGrid w:val="false"/>
              <w:jc w:val="both"/>
              <w:rPr>
                <w:sz w:val="20"/>
              </w:rPr>
            </w:pPr>
            <w:r>
              <w:rPr>
                <w:sz w:val="20"/>
              </w:rPr>
            </w:r>
          </w:p>
        </w:tc>
        <w:tc>
          <w:tcPr>
            <w:tcW w:w="1440" w:type="dxa"/>
            <w:tcBorders/>
          </w:tcPr>
          <w:p>
            <w:pPr>
              <w:pStyle w:val="Normal"/>
              <w:tabs>
                <w:tab w:val="clear" w:pos="720"/>
                <w:tab w:val="left" w:pos="1080" w:leader="none"/>
              </w:tabs>
              <w:snapToGrid w:val="false"/>
              <w:rPr>
                <w:sz w:val="20"/>
              </w:rPr>
            </w:pPr>
            <w:r>
              <w:rPr>
                <w:sz w:val="20"/>
              </w:rPr>
            </w:r>
          </w:p>
        </w:tc>
        <w:tc>
          <w:tcPr>
            <w:tcW w:w="1800" w:type="dxa"/>
            <w:tcBorders/>
          </w:tcPr>
          <w:p>
            <w:pPr>
              <w:pStyle w:val="Normal"/>
              <w:tabs>
                <w:tab w:val="clear" w:pos="720"/>
                <w:tab w:val="left" w:pos="1080" w:leader="none"/>
              </w:tabs>
              <w:snapToGrid w:val="false"/>
              <w:rPr>
                <w:sz w:val="20"/>
              </w:rPr>
            </w:pPr>
            <w:r>
              <w:rPr>
                <w:sz w:val="20"/>
              </w:rPr>
            </w:r>
          </w:p>
        </w:tc>
        <w:tc>
          <w:tcPr>
            <w:tcW w:w="1800" w:type="dxa"/>
            <w:tcBorders/>
          </w:tcPr>
          <w:p>
            <w:pPr>
              <w:pStyle w:val="Normal"/>
              <w:tabs>
                <w:tab w:val="clear" w:pos="720"/>
                <w:tab w:val="left" w:pos="1080" w:leader="none"/>
              </w:tabs>
              <w:snapToGrid w:val="false"/>
              <w:rPr>
                <w:sz w:val="20"/>
              </w:rPr>
            </w:pPr>
            <w:r>
              <w:rPr>
                <w:sz w:val="20"/>
              </w:rPr>
            </w:r>
          </w:p>
        </w:tc>
      </w:tr>
      <w:tr>
        <w:trPr>
          <w:trHeight w:val="280" w:hRule="atLeast"/>
        </w:trPr>
        <w:tc>
          <w:tcPr>
            <w:tcW w:w="1890" w:type="dxa"/>
            <w:tcBorders/>
          </w:tcPr>
          <w:p>
            <w:pPr>
              <w:pStyle w:val="Normal"/>
              <w:tabs>
                <w:tab w:val="clear" w:pos="720"/>
                <w:tab w:val="left" w:pos="1080" w:leader="none"/>
              </w:tabs>
              <w:rPr>
                <w:sz w:val="20"/>
              </w:rPr>
            </w:pPr>
            <w:r>
              <w:rPr>
                <w:sz w:val="20"/>
              </w:rPr>
              <w:t>Market Services</w:t>
            </w:r>
          </w:p>
        </w:tc>
        <w:tc>
          <w:tcPr>
            <w:tcW w:w="1800" w:type="dxa"/>
            <w:tcBorders/>
          </w:tcPr>
          <w:p>
            <w:pPr>
              <w:pStyle w:val="Normal"/>
              <w:tabs>
                <w:tab w:val="clear" w:pos="720"/>
                <w:tab w:val="left" w:pos="1080" w:leader="none"/>
              </w:tabs>
              <w:rPr>
                <w:sz w:val="20"/>
              </w:rPr>
            </w:pPr>
            <w:r>
              <w:rPr>
                <w:sz w:val="20"/>
              </w:rPr>
              <w:t>Lynn Blair</w:t>
            </w:r>
          </w:p>
        </w:tc>
        <w:tc>
          <w:tcPr>
            <w:tcW w:w="1440" w:type="dxa"/>
            <w:tcBorders/>
          </w:tcPr>
          <w:p>
            <w:pPr>
              <w:pStyle w:val="Normal"/>
              <w:tabs>
                <w:tab w:val="clear" w:pos="720"/>
                <w:tab w:val="left" w:pos="1080" w:leader="none"/>
              </w:tabs>
              <w:rPr>
                <w:sz w:val="20"/>
              </w:rPr>
            </w:pPr>
            <w:r>
              <w:rPr>
                <w:sz w:val="20"/>
              </w:rPr>
              <w:t>Director</w:t>
            </w:r>
          </w:p>
        </w:tc>
        <w:tc>
          <w:tcPr>
            <w:tcW w:w="1800" w:type="dxa"/>
            <w:tcBorders/>
          </w:tcPr>
          <w:p>
            <w:pPr>
              <w:pStyle w:val="Normal"/>
              <w:tabs>
                <w:tab w:val="clear" w:pos="720"/>
                <w:tab w:val="left" w:pos="1080" w:leader="none"/>
              </w:tabs>
              <w:rPr>
                <w:sz w:val="20"/>
              </w:rPr>
            </w:pPr>
            <w:r>
              <w:rPr>
                <w:sz w:val="20"/>
              </w:rPr>
              <w:t>(713) 853-7637</w:t>
            </w:r>
          </w:p>
        </w:tc>
        <w:tc>
          <w:tcPr>
            <w:tcW w:w="1800" w:type="dxa"/>
            <w:tcBorders/>
          </w:tcPr>
          <w:p>
            <w:pPr>
              <w:pStyle w:val="Normal"/>
              <w:tabs>
                <w:tab w:val="clear" w:pos="720"/>
                <w:tab w:val="left" w:pos="1080" w:leader="none"/>
              </w:tabs>
              <w:rPr>
                <w:sz w:val="20"/>
              </w:rPr>
            </w:pPr>
            <w:r>
              <w:rPr>
                <w:sz w:val="20"/>
              </w:rPr>
              <w:t>1-800-504-6138</w:t>
            </w:r>
          </w:p>
        </w:tc>
      </w:tr>
    </w:tbl>
    <w:p>
      <w:pPr>
        <w:pStyle w:val="Normal"/>
        <w:jc w:val="center"/>
        <w:rPr/>
      </w:pPr>
      <w:r>
        <w:rPr/>
      </w:r>
    </w:p>
    <w:p>
      <w:pPr>
        <w:pStyle w:val="Heading1"/>
        <w:rPr/>
      </w:pPr>
      <w:r>
        <w:rPr/>
        <w:t>Procedures</w:t>
      </w:r>
    </w:p>
    <w:p>
      <w:pPr>
        <w:pStyle w:val="Normal"/>
        <w:rPr/>
      </w:pPr>
      <w:r>
        <w:rPr/>
      </w:r>
    </w:p>
    <w:p>
      <w:pPr>
        <w:pStyle w:val="Header"/>
        <w:tabs>
          <w:tab w:val="clear" w:pos="4320"/>
          <w:tab w:val="clear" w:pos="8640"/>
        </w:tabs>
        <w:rPr>
          <w:b/>
          <w:u w:val="single"/>
        </w:rPr>
      </w:pPr>
      <w:r>
        <w:rPr>
          <w:b/>
          <w:u w:val="single"/>
        </w:rPr>
        <w:t xml:space="preserve">Nomination Approval Process: </w:t>
      </w:r>
    </w:p>
    <w:p>
      <w:pPr>
        <w:pStyle w:val="Header"/>
        <w:tabs>
          <w:tab w:val="clear" w:pos="4320"/>
          <w:tab w:val="clear" w:pos="8640"/>
        </w:tabs>
        <w:rPr>
          <w:b/>
          <w:u w:val="single"/>
        </w:rPr>
      </w:pPr>
      <w:r>
        <w:rPr>
          <w:b/>
          <w:u w:val="single"/>
        </w:rPr>
      </w:r>
    </w:p>
    <w:p>
      <w:pPr>
        <w:pStyle w:val="Normal"/>
        <w:numPr>
          <w:ilvl w:val="0"/>
          <w:numId w:val="6"/>
        </w:numPr>
        <w:tabs>
          <w:tab w:val="clear" w:pos="720"/>
          <w:tab w:val="left" w:pos="1080" w:leader="none"/>
        </w:tabs>
        <w:ind w:hanging="1080" w:start="1080" w:end="0"/>
        <w:rPr/>
      </w:pPr>
      <w:r>
        <w:rPr/>
        <w:t>Place arrow on the Administration icon in TMS.</w:t>
      </w:r>
    </w:p>
    <w:p>
      <w:pPr>
        <w:pStyle w:val="Normal"/>
        <w:numPr>
          <w:ilvl w:val="0"/>
          <w:numId w:val="6"/>
        </w:numPr>
        <w:tabs>
          <w:tab w:val="clear" w:pos="720"/>
          <w:tab w:val="left" w:pos="1080" w:leader="none"/>
        </w:tabs>
        <w:ind w:hanging="1080" w:start="1080" w:end="0"/>
        <w:rPr/>
      </w:pPr>
      <w:r>
        <w:rPr/>
        <w:t>Place arrow on Process icon.</w:t>
      </w:r>
    </w:p>
    <w:p>
      <w:pPr>
        <w:pStyle w:val="Normal"/>
        <w:numPr>
          <w:ilvl w:val="0"/>
          <w:numId w:val="6"/>
        </w:numPr>
        <w:tabs>
          <w:tab w:val="clear" w:pos="720"/>
          <w:tab w:val="left" w:pos="1080" w:leader="none"/>
        </w:tabs>
        <w:ind w:hanging="1080" w:start="1080" w:end="0"/>
        <w:rPr/>
      </w:pPr>
      <w:r>
        <w:rPr/>
        <w:t>Click on Intraday Nomination List.</w:t>
      </w:r>
    </w:p>
    <w:p>
      <w:pPr>
        <w:pStyle w:val="Normal"/>
        <w:numPr>
          <w:ilvl w:val="0"/>
          <w:numId w:val="6"/>
        </w:numPr>
        <w:rPr/>
      </w:pPr>
      <w:r>
        <w:rPr/>
        <w:t>Once the Intraday Nomination Paths View comes up, check to see the Gas Day is correct and the Cycle is Final AM.</w:t>
      </w:r>
    </w:p>
    <w:p>
      <w:pPr>
        <w:pStyle w:val="Normal"/>
        <w:numPr>
          <w:ilvl w:val="0"/>
          <w:numId w:val="6"/>
        </w:numPr>
        <w:tabs>
          <w:tab w:val="clear" w:pos="720"/>
          <w:tab w:val="left" w:pos="1080" w:leader="none"/>
        </w:tabs>
        <w:ind w:hanging="1080" w:start="1080" w:end="0"/>
        <w:rPr/>
      </w:pPr>
      <w:r>
        <w:rPr/>
        <w:t>Click Retrieve.</w:t>
      </w:r>
    </w:p>
    <w:p>
      <w:pPr>
        <w:pStyle w:val="Normal"/>
        <w:numPr>
          <w:ilvl w:val="0"/>
          <w:numId w:val="6"/>
        </w:numPr>
        <w:tabs>
          <w:tab w:val="clear" w:pos="720"/>
          <w:tab w:val="left" w:pos="1080" w:leader="none"/>
        </w:tabs>
        <w:ind w:hanging="1080" w:start="1080" w:end="0"/>
        <w:rPr/>
      </w:pPr>
      <w:r>
        <w:rPr/>
        <w:t>Once the Intraday Nomination Paths View is populated, the file must be exported.</w:t>
      </w:r>
    </w:p>
    <w:p>
      <w:pPr>
        <w:pStyle w:val="Normal"/>
        <w:numPr>
          <w:ilvl w:val="0"/>
          <w:numId w:val="6"/>
        </w:numPr>
        <w:tabs>
          <w:tab w:val="clear" w:pos="720"/>
          <w:tab w:val="left" w:pos="1080" w:leader="none"/>
        </w:tabs>
        <w:ind w:hanging="1080" w:start="1080" w:end="0"/>
        <w:rPr/>
      </w:pPr>
      <w:r>
        <w:rPr/>
        <w:t>Click on the Export icon.</w:t>
      </w:r>
    </w:p>
    <w:p>
      <w:pPr>
        <w:pStyle w:val="Normal"/>
        <w:numPr>
          <w:ilvl w:val="0"/>
          <w:numId w:val="6"/>
        </w:numPr>
        <w:rPr/>
      </w:pPr>
      <w:r>
        <w:rPr/>
        <w:t>You must name the file, Example (Feb22.xls).  Place an .xls at the end of the file name. Save in a directory that will be easy for you to find, example (H drive / file under Data).</w:t>
      </w:r>
    </w:p>
    <w:p>
      <w:pPr>
        <w:pStyle w:val="Normal"/>
        <w:numPr>
          <w:ilvl w:val="0"/>
          <w:numId w:val="6"/>
        </w:numPr>
        <w:rPr/>
      </w:pPr>
      <w:r>
        <w:rPr/>
        <w:t>Once you have selected a directory and file name, Click Open.</w:t>
      </w:r>
    </w:p>
    <w:p>
      <w:pPr>
        <w:pStyle w:val="Normal"/>
        <w:numPr>
          <w:ilvl w:val="0"/>
          <w:numId w:val="6"/>
        </w:numPr>
        <w:tabs>
          <w:tab w:val="clear" w:pos="720"/>
          <w:tab w:val="left" w:pos="1080" w:leader="none"/>
        </w:tabs>
        <w:rPr/>
      </w:pPr>
      <w:r>
        <w:rPr/>
        <w:t>An export dialog box will appear stating “This file does not exist, do you want to create it?”.  Click Yes.</w:t>
      </w:r>
    </w:p>
    <w:p>
      <w:pPr>
        <w:pStyle w:val="Normal"/>
        <w:numPr>
          <w:ilvl w:val="0"/>
          <w:numId w:val="6"/>
        </w:numPr>
        <w:tabs>
          <w:tab w:val="clear" w:pos="720"/>
          <w:tab w:val="left" w:pos="1080" w:leader="none"/>
        </w:tabs>
        <w:ind w:hanging="1080" w:start="1080" w:end="0"/>
        <w:rPr/>
      </w:pPr>
      <w:r>
        <w:rPr/>
        <w:t>Leave the Intraday Nomination List open on your screen.</w:t>
      </w:r>
    </w:p>
    <w:p>
      <w:pPr>
        <w:pStyle w:val="Normal"/>
        <w:numPr>
          <w:ilvl w:val="0"/>
          <w:numId w:val="6"/>
        </w:numPr>
        <w:rPr/>
      </w:pPr>
      <w:r>
        <w:rPr/>
        <w:t>Open Excel and go to the directory you chose to put the file in. Open the file and the Text Import Wizard will appear.</w:t>
      </w:r>
    </w:p>
    <w:p>
      <w:pPr>
        <w:pStyle w:val="Normal"/>
        <w:numPr>
          <w:ilvl w:val="0"/>
          <w:numId w:val="6"/>
        </w:numPr>
        <w:tabs>
          <w:tab w:val="clear" w:pos="720"/>
          <w:tab w:val="left" w:pos="1080" w:leader="none"/>
        </w:tabs>
        <w:ind w:hanging="1080" w:start="1080" w:end="0"/>
        <w:rPr/>
      </w:pPr>
      <w:r>
        <w:rPr/>
        <w:t>Click Next twice.</w:t>
      </w:r>
    </w:p>
    <w:p>
      <w:pPr>
        <w:pStyle w:val="Normal"/>
        <w:numPr>
          <w:ilvl w:val="0"/>
          <w:numId w:val="6"/>
        </w:numPr>
        <w:tabs>
          <w:tab w:val="clear" w:pos="720"/>
          <w:tab w:val="left" w:pos="1080" w:leader="none"/>
        </w:tabs>
        <w:ind w:hanging="1080" w:start="1080" w:end="0"/>
        <w:rPr/>
      </w:pPr>
      <w:r>
        <w:rPr/>
        <w:t>Click Finish.</w:t>
      </w:r>
    </w:p>
    <w:p>
      <w:pPr>
        <w:pStyle w:val="Normal"/>
        <w:numPr>
          <w:ilvl w:val="0"/>
          <w:numId w:val="6"/>
        </w:numPr>
        <w:rPr/>
      </w:pPr>
      <w:r>
        <w:rPr/>
        <w:t xml:space="preserve">The Excel spreadsheet will appear, there is more detail than needed for this process so some fields should be deleted to make it easier to read. </w:t>
      </w:r>
    </w:p>
    <w:p>
      <w:pPr>
        <w:pStyle w:val="Normal"/>
        <w:numPr>
          <w:ilvl w:val="0"/>
          <w:numId w:val="6"/>
        </w:numPr>
        <w:rPr/>
      </w:pPr>
      <w:r>
        <w:rPr/>
        <w:t xml:space="preserve">Delete Updated, Update Time, Rank, Rank, Reason Code and Text Message. Make the New (*) column as small as possible, but make sure you are still able to see the *. </w:t>
      </w:r>
    </w:p>
    <w:p>
      <w:pPr>
        <w:pStyle w:val="Normal"/>
        <w:numPr>
          <w:ilvl w:val="0"/>
          <w:numId w:val="6"/>
        </w:numPr>
        <w:rPr/>
      </w:pPr>
      <w:r>
        <w:rPr/>
        <w:t xml:space="preserve">The file is already sorted by Shipper Name, Contract, Receipt POI and New (*) Nomination over the Original Nomination. </w:t>
      </w:r>
    </w:p>
    <w:p>
      <w:pPr>
        <w:pStyle w:val="Normal"/>
        <w:numPr>
          <w:ilvl w:val="0"/>
          <w:numId w:val="6"/>
        </w:numPr>
        <w:rPr/>
      </w:pPr>
      <w:r>
        <w:rPr/>
        <w:t>The file will reflect “changes only” for EDI files.</w:t>
      </w:r>
    </w:p>
    <w:p>
      <w:pPr>
        <w:pStyle w:val="Normal"/>
        <w:numPr>
          <w:ilvl w:val="0"/>
          <w:numId w:val="6"/>
        </w:numPr>
        <w:tabs>
          <w:tab w:val="clear" w:pos="720"/>
          <w:tab w:val="left" w:pos="1080" w:leader="none"/>
        </w:tabs>
        <w:ind w:hanging="1080" w:start="1080" w:end="0"/>
        <w:rPr/>
      </w:pPr>
      <w:r>
        <w:rPr/>
        <w:t>Rows must be inserted to separate different Contract numbers.</w:t>
      </w:r>
    </w:p>
    <w:p>
      <w:pPr>
        <w:pStyle w:val="Normal"/>
        <w:numPr>
          <w:ilvl w:val="0"/>
          <w:numId w:val="6"/>
        </w:numPr>
        <w:tabs>
          <w:tab w:val="clear" w:pos="720"/>
          <w:tab w:val="left" w:pos="1080" w:leader="none"/>
        </w:tabs>
        <w:ind w:hanging="1080" w:start="1080" w:end="0"/>
        <w:rPr/>
      </w:pPr>
      <w:r>
        <w:rPr/>
        <w:t>Rows must be inserted to separate different Receipt POI numbers.</w:t>
      </w:r>
    </w:p>
    <w:p>
      <w:pPr>
        <w:pStyle w:val="Normal"/>
        <w:numPr>
          <w:ilvl w:val="0"/>
          <w:numId w:val="6"/>
        </w:numPr>
        <w:rPr/>
      </w:pPr>
      <w:r>
        <w:rPr/>
        <w:t xml:space="preserve">Rows must be inserted to separate the Original nomination from the New nomination (*). </w:t>
      </w:r>
    </w:p>
    <w:p>
      <w:pPr>
        <w:pStyle w:val="Normal"/>
        <w:jc w:val="center"/>
        <w:rPr/>
      </w:pPr>
      <w:r>
        <w:rPr/>
      </w:r>
    </w:p>
    <w:p>
      <w:pPr>
        <w:pStyle w:val="Heading1"/>
        <w:rPr/>
      </w:pPr>
      <w:r>
        <w:rPr/>
        <w:t>Procedures (Con’d)</w:t>
      </w:r>
    </w:p>
    <w:p>
      <w:pPr>
        <w:pStyle w:val="Normal"/>
        <w:rPr/>
      </w:pPr>
      <w:r>
        <w:rPr/>
      </w:r>
    </w:p>
    <w:p>
      <w:pPr>
        <w:pStyle w:val="Normal"/>
        <w:numPr>
          <w:ilvl w:val="0"/>
          <w:numId w:val="6"/>
        </w:numPr>
        <w:rPr/>
      </w:pPr>
      <w:r>
        <w:rPr/>
        <w:t xml:space="preserve">If the Receipt POI is a STORAGE Point you do not need to do anything else.  These are valid transactions.  </w:t>
      </w:r>
    </w:p>
    <w:p>
      <w:pPr>
        <w:pStyle w:val="Normal"/>
        <w:numPr>
          <w:ilvl w:val="0"/>
          <w:numId w:val="6"/>
        </w:numPr>
        <w:rPr/>
      </w:pPr>
      <w:r>
        <w:rPr/>
        <w:t xml:space="preserve">All other Receipt POIs must be summed.  Please sum the following columns: </w:t>
      </w:r>
    </w:p>
    <w:p>
      <w:pPr>
        <w:pStyle w:val="Normal"/>
        <w:numPr>
          <w:ilvl w:val="0"/>
          <w:numId w:val="5"/>
        </w:numPr>
        <w:ind w:hanging="0" w:start="360" w:end="0"/>
        <w:rPr/>
      </w:pPr>
      <w:r>
        <w:rPr/>
        <w:t>The New Nomination volume (*) column on a new row.</w:t>
      </w:r>
    </w:p>
    <w:p>
      <w:pPr>
        <w:pStyle w:val="Normal"/>
        <w:numPr>
          <w:ilvl w:val="0"/>
          <w:numId w:val="5"/>
        </w:numPr>
        <w:ind w:hanging="0" w:start="360" w:end="0"/>
        <w:rPr/>
      </w:pPr>
      <w:r>
        <w:rPr/>
        <w:t xml:space="preserve">Original Scheduled volume on another new row . </w:t>
      </w:r>
    </w:p>
    <w:p>
      <w:pPr>
        <w:pStyle w:val="Normal"/>
        <w:numPr>
          <w:ilvl w:val="0"/>
          <w:numId w:val="6"/>
        </w:numPr>
        <w:rPr/>
      </w:pPr>
      <w:r>
        <w:rPr/>
        <w:t>Once the appropriate rows have been summed, you will need to print the spreadsheet.</w:t>
      </w:r>
    </w:p>
    <w:p>
      <w:pPr>
        <w:pStyle w:val="Normal"/>
        <w:ind w:start="360" w:end="0"/>
        <w:rPr/>
      </w:pPr>
      <w:r>
        <w:rPr/>
        <w:t>To Print: select file, page setup and select Landscape, and Sheet (Rows to repeat at top: input "A1") then print.</w:t>
      </w:r>
    </w:p>
    <w:p>
      <w:pPr>
        <w:pStyle w:val="Normal"/>
        <w:numPr>
          <w:ilvl w:val="0"/>
          <w:numId w:val="6"/>
        </w:numPr>
        <w:rPr/>
      </w:pPr>
      <w:r>
        <w:rPr/>
        <w:t>All invalid transactions must be disapproved. Use a highlighter to select the paths to be disapproved.</w:t>
      </w:r>
    </w:p>
    <w:p>
      <w:pPr>
        <w:pStyle w:val="Normal"/>
        <w:ind w:start="360" w:end="0"/>
        <w:rPr/>
      </w:pPr>
      <w:r>
        <w:rPr/>
        <w:t>Invalid transactions are as follows:</w:t>
      </w:r>
    </w:p>
    <w:p>
      <w:pPr>
        <w:pStyle w:val="Normal"/>
        <w:numPr>
          <w:ilvl w:val="0"/>
          <w:numId w:val="2"/>
        </w:numPr>
        <w:rPr/>
      </w:pPr>
      <w:r>
        <w:rPr/>
        <w:t>If the New (*) Nomination volume does not match the Previous Scheduled volume;</w:t>
      </w:r>
    </w:p>
    <w:p>
      <w:pPr>
        <w:pStyle w:val="Normal"/>
        <w:numPr>
          <w:ilvl w:val="0"/>
          <w:numId w:val="2"/>
        </w:numPr>
        <w:rPr/>
      </w:pPr>
      <w:r>
        <w:rPr/>
        <w:t>Transaction Type changes on transportation contracts;</w:t>
      </w:r>
    </w:p>
    <w:p>
      <w:pPr>
        <w:pStyle w:val="Normal"/>
        <w:numPr>
          <w:ilvl w:val="0"/>
          <w:numId w:val="2"/>
        </w:numPr>
        <w:rPr/>
      </w:pPr>
      <w:r>
        <w:rPr/>
        <w:t>Transactions going through Demarc, MATT or Pools.  If any of these show up as a delivery point, please disapprove the transaction;</w:t>
      </w:r>
    </w:p>
    <w:p>
      <w:pPr>
        <w:pStyle w:val="Normal"/>
        <w:numPr>
          <w:ilvl w:val="0"/>
          <w:numId w:val="2"/>
        </w:numPr>
        <w:rPr/>
      </w:pPr>
      <w:r>
        <w:rPr/>
        <w:t>If shipper is using more than one receipt swing point;</w:t>
      </w:r>
    </w:p>
    <w:p>
      <w:pPr>
        <w:pStyle w:val="Normal"/>
        <w:numPr>
          <w:ilvl w:val="0"/>
          <w:numId w:val="2"/>
        </w:numPr>
        <w:rPr/>
      </w:pPr>
      <w:r>
        <w:rPr/>
        <w:t xml:space="preserve">Increases at allocated points, including storage.  </w:t>
      </w:r>
    </w:p>
    <w:p>
      <w:pPr>
        <w:pStyle w:val="Normal"/>
        <w:numPr>
          <w:ilvl w:val="0"/>
          <w:numId w:val="6"/>
        </w:numPr>
        <w:rPr>
          <w:b/>
        </w:rPr>
      </w:pPr>
      <w:r>
        <w:rPr>
          <w:b/>
        </w:rPr>
        <w:t xml:space="preserve">Note Exception: If Minnegasco has a nomination in the 8:00 AM cycle, get with the MSR handling them for the weekend to verify their nomination. Minnegasco usually notifies MSR of changes for this cycle. </w:t>
      </w:r>
    </w:p>
    <w:p>
      <w:pPr>
        <w:pStyle w:val="Normal"/>
        <w:numPr>
          <w:ilvl w:val="0"/>
          <w:numId w:val="6"/>
        </w:numPr>
        <w:rPr/>
      </w:pPr>
      <w:r>
        <w:rPr/>
        <w:t>Close Excel and return to the Intraday Nomination Path View screen.</w:t>
      </w:r>
    </w:p>
    <w:p>
      <w:pPr>
        <w:pStyle w:val="Normal"/>
        <w:numPr>
          <w:ilvl w:val="0"/>
          <w:numId w:val="6"/>
        </w:numPr>
        <w:rPr/>
      </w:pPr>
      <w:r>
        <w:rPr/>
        <w:t>This screen now has some validation to it and will automatically invalidate nominations where the new nomination does not match the previously scheduled, changed transaction types and allocated points.</w:t>
      </w:r>
    </w:p>
    <w:p>
      <w:pPr>
        <w:pStyle w:val="Normal"/>
        <w:numPr>
          <w:ilvl w:val="0"/>
          <w:numId w:val="6"/>
        </w:numPr>
        <w:rPr/>
      </w:pPr>
      <w:r>
        <w:rPr/>
        <w:t xml:space="preserve">If the system has invalidated a nomination and you want to leave it invalid you must just </w:t>
      </w:r>
      <w:r>
        <w:rPr>
          <w:b/>
        </w:rPr>
        <w:t>Click Save</w:t>
      </w:r>
      <w:r>
        <w:rPr/>
        <w:t xml:space="preserve">. The system will then recognize the invalid transaction code and stop the new nomination from being processed. </w:t>
      </w:r>
    </w:p>
    <w:p>
      <w:pPr>
        <w:pStyle w:val="Normal"/>
        <w:numPr>
          <w:ilvl w:val="0"/>
          <w:numId w:val="6"/>
        </w:numPr>
        <w:rPr/>
      </w:pPr>
      <w:r>
        <w:rPr/>
        <w:t xml:space="preserve">If you determine that the new nomination that has been tagged invalid is really </w:t>
      </w:r>
      <w:r>
        <w:rPr>
          <w:b/>
        </w:rPr>
        <w:t>OK</w:t>
      </w:r>
      <w:r>
        <w:rPr/>
        <w:t xml:space="preserve"> to go through just </w:t>
      </w:r>
      <w:r>
        <w:rPr>
          <w:b/>
        </w:rPr>
        <w:t>Do Not</w:t>
      </w:r>
      <w:r>
        <w:rPr/>
        <w:t xml:space="preserve"> click save, </w:t>
      </w:r>
      <w:r>
        <w:rPr>
          <w:b/>
        </w:rPr>
        <w:t>Click OK to Rollover</w:t>
      </w:r>
      <w:r>
        <w:rPr/>
        <w:t xml:space="preserve">, the system will ignore the invalid transaction code and process the new nomination. </w:t>
      </w:r>
    </w:p>
    <w:p>
      <w:pPr>
        <w:pStyle w:val="Normal"/>
        <w:numPr>
          <w:ilvl w:val="0"/>
          <w:numId w:val="6"/>
        </w:numPr>
        <w:rPr/>
      </w:pPr>
      <w:r>
        <w:rPr/>
        <w:t>A message will appear, Update Successful.</w:t>
      </w:r>
    </w:p>
    <w:p>
      <w:pPr>
        <w:pStyle w:val="Normal"/>
        <w:numPr>
          <w:ilvl w:val="0"/>
          <w:numId w:val="6"/>
        </w:numPr>
        <w:rPr/>
      </w:pPr>
      <w:r>
        <w:rPr/>
        <w:t>Once you have “SAVED”, Click “OK To Rollover” found at the bottom of the screen.</w:t>
      </w:r>
    </w:p>
    <w:p>
      <w:pPr>
        <w:pStyle w:val="Normal"/>
        <w:numPr>
          <w:ilvl w:val="0"/>
          <w:numId w:val="6"/>
        </w:numPr>
        <w:rPr/>
      </w:pPr>
      <w:r>
        <w:rPr/>
        <w:t xml:space="preserve">Monitor the Batch Status screen for the Balancing.  </w:t>
      </w:r>
    </w:p>
    <w:p>
      <w:pPr>
        <w:pStyle w:val="Normal"/>
        <w:rPr/>
      </w:pPr>
      <w:r>
        <w:rPr/>
      </w:r>
    </w:p>
    <w:p>
      <w:pPr>
        <w:pStyle w:val="Header"/>
        <w:tabs>
          <w:tab w:val="clear" w:pos="4320"/>
          <w:tab w:val="clear" w:pos="8640"/>
        </w:tabs>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er"/>
        <w:tabs>
          <w:tab w:val="clear" w:pos="4320"/>
          <w:tab w:val="clear" w:pos="8640"/>
        </w:tabs>
        <w:rPr>
          <w:b/>
          <w:u w:val="single"/>
        </w:rPr>
      </w:pPr>
      <w:r>
        <w:rPr>
          <w:b/>
          <w:u w:val="single"/>
        </w:rPr>
        <w:t xml:space="preserve">Confirmation Approval Process: </w:t>
      </w:r>
    </w:p>
    <w:p>
      <w:pPr>
        <w:pStyle w:val="Header"/>
        <w:tabs>
          <w:tab w:val="clear" w:pos="4320"/>
          <w:tab w:val="clear" w:pos="8640"/>
        </w:tabs>
        <w:rPr>
          <w:b/>
          <w:u w:val="single"/>
        </w:rPr>
      </w:pPr>
      <w:r>
        <w:rPr>
          <w:b/>
          <w:u w:val="single"/>
        </w:rPr>
      </w:r>
    </w:p>
    <w:p>
      <w:pPr>
        <w:pStyle w:val="Normal"/>
        <w:numPr>
          <w:ilvl w:val="0"/>
          <w:numId w:val="7"/>
        </w:numPr>
        <w:rPr/>
      </w:pPr>
      <w:r>
        <w:rPr/>
        <w:t xml:space="preserve">After the Balancing for the Intraday Nomination process is successful, you may start the Confirmation Approval process, but NOT before. </w:t>
      </w:r>
    </w:p>
    <w:p>
      <w:pPr>
        <w:pStyle w:val="Normal"/>
        <w:numPr>
          <w:ilvl w:val="0"/>
          <w:numId w:val="7"/>
        </w:numPr>
        <w:rPr/>
      </w:pPr>
      <w:r>
        <w:rPr/>
        <w:t>Place arrow on the Administration icon in TMS.</w:t>
      </w:r>
    </w:p>
    <w:p>
      <w:pPr>
        <w:pStyle w:val="Normal"/>
        <w:numPr>
          <w:ilvl w:val="0"/>
          <w:numId w:val="7"/>
        </w:numPr>
        <w:rPr/>
      </w:pPr>
      <w:r>
        <w:rPr/>
        <w:t>Place arrow on the Process Icon.</w:t>
      </w:r>
    </w:p>
    <w:p>
      <w:pPr>
        <w:pStyle w:val="Normal"/>
        <w:numPr>
          <w:ilvl w:val="0"/>
          <w:numId w:val="7"/>
        </w:numPr>
        <w:rPr/>
      </w:pPr>
      <w:r>
        <w:rPr/>
        <w:t>Click on Confirmation Approval.</w:t>
      </w:r>
    </w:p>
    <w:p>
      <w:pPr>
        <w:pStyle w:val="Normal"/>
        <w:numPr>
          <w:ilvl w:val="0"/>
          <w:numId w:val="7"/>
        </w:numPr>
        <w:rPr/>
      </w:pPr>
      <w:r>
        <w:rPr/>
        <w:t>Once the Confirmation Approval screen comes up, check to see the Gas Day is correct and the Cycle is Final AM.</w:t>
      </w:r>
    </w:p>
    <w:p>
      <w:pPr>
        <w:pStyle w:val="Normal"/>
        <w:numPr>
          <w:ilvl w:val="0"/>
          <w:numId w:val="7"/>
        </w:numPr>
        <w:rPr/>
      </w:pPr>
      <w:r>
        <w:rPr/>
        <w:t>Click Retrieve.</w:t>
      </w:r>
    </w:p>
    <w:p>
      <w:pPr>
        <w:pStyle w:val="Normal"/>
        <w:numPr>
          <w:ilvl w:val="0"/>
          <w:numId w:val="7"/>
        </w:numPr>
        <w:rPr/>
      </w:pPr>
      <w:r>
        <w:rPr/>
        <w:t xml:space="preserve">The Confirmation Approval screen will populate with nominations that were confirmed lower on the 8:00 AM cycle than the scheduled volume from the Intraday 2 cycle. </w:t>
      </w:r>
    </w:p>
    <w:p>
      <w:pPr>
        <w:pStyle w:val="Normal"/>
        <w:numPr>
          <w:ilvl w:val="0"/>
          <w:numId w:val="3"/>
        </w:numPr>
        <w:rPr/>
      </w:pPr>
      <w:r>
        <w:rPr/>
        <w:t>Two things to remember for this process:</w:t>
      </w:r>
    </w:p>
    <w:p>
      <w:pPr>
        <w:pStyle w:val="Normal"/>
        <w:numPr>
          <w:ilvl w:val="0"/>
          <w:numId w:val="4"/>
        </w:numPr>
        <w:tabs>
          <w:tab w:val="left" w:pos="720" w:leader="none"/>
        </w:tabs>
        <w:ind w:hanging="450" w:start="810" w:end="0"/>
        <w:rPr/>
      </w:pPr>
      <w:r>
        <w:rPr/>
        <w:t>There is NO EPSQ check at the 8:00 AM cycle, so we need to be very careful of confirmations below the previous scheduled volume.</w:t>
      </w:r>
    </w:p>
    <w:p>
      <w:pPr>
        <w:pStyle w:val="Normal"/>
        <w:numPr>
          <w:ilvl w:val="0"/>
          <w:numId w:val="4"/>
        </w:numPr>
        <w:ind w:hanging="0" w:start="360" w:end="0"/>
        <w:rPr/>
      </w:pPr>
      <w:r>
        <w:rPr/>
        <w:t xml:space="preserve">Auto-confirmation will take place in this cycle if Shipper and Operator are the same.  </w:t>
      </w:r>
    </w:p>
    <w:p>
      <w:pPr>
        <w:pStyle w:val="Normal"/>
        <w:numPr>
          <w:ilvl w:val="0"/>
          <w:numId w:val="7"/>
        </w:numPr>
        <w:rPr/>
      </w:pPr>
      <w:r>
        <w:rPr/>
        <w:t>The left side of the report will display user ID of person inputing the confirmation.  If user is a MSR and it is a physical to physical path, verify that they really want to let the confirmation go through. If it is an external user, compare the Nom, Schd and Conf columns.  If they all match, you may process the confirmation.  If they do not match, disapprove the confirmation.  An Operator can not lower a confirmation without a new nom.  If an Operator confirms down a point without a new nomination and the path goes through Demarc or MATT the cuts could be very wide spread. Highlight each line item on the screen.  Notice at the bottom of the screen, the path detail for the nomination is displayed. If the path goes through DEMARC, MATT or Pools, the confirmation should be Disapproved.</w:t>
      </w:r>
    </w:p>
    <w:p>
      <w:pPr>
        <w:pStyle w:val="Normal"/>
        <w:numPr>
          <w:ilvl w:val="0"/>
          <w:numId w:val="7"/>
        </w:numPr>
        <w:rPr/>
      </w:pPr>
      <w:r>
        <w:rPr/>
        <w:t>To Disapprove a Confirmation, Highlight the row.</w:t>
      </w:r>
    </w:p>
    <w:p>
      <w:pPr>
        <w:pStyle w:val="Normal"/>
        <w:numPr>
          <w:ilvl w:val="0"/>
          <w:numId w:val="7"/>
        </w:numPr>
        <w:rPr/>
      </w:pPr>
      <w:r>
        <w:rPr/>
        <w:t>Select the reason code of INV.</w:t>
      </w:r>
    </w:p>
    <w:p>
      <w:pPr>
        <w:pStyle w:val="Normal"/>
        <w:numPr>
          <w:ilvl w:val="0"/>
          <w:numId w:val="7"/>
        </w:numPr>
        <w:rPr/>
      </w:pPr>
      <w:r>
        <w:rPr/>
        <w:t>Type Invalid Transaction in the text box.</w:t>
      </w:r>
    </w:p>
    <w:p>
      <w:pPr>
        <w:pStyle w:val="Normal"/>
        <w:numPr>
          <w:ilvl w:val="0"/>
          <w:numId w:val="7"/>
        </w:numPr>
        <w:rPr/>
      </w:pPr>
      <w:r>
        <w:rPr/>
        <w:t>Click Apply</w:t>
      </w:r>
    </w:p>
    <w:p>
      <w:pPr>
        <w:pStyle w:val="Normal"/>
        <w:numPr>
          <w:ilvl w:val="0"/>
          <w:numId w:val="7"/>
        </w:numPr>
        <w:rPr/>
      </w:pPr>
      <w:r>
        <w:rPr/>
        <w:t>After all the contracts have been disapproved, click SAVE.</w:t>
      </w:r>
    </w:p>
    <w:p>
      <w:pPr>
        <w:pStyle w:val="Normal"/>
        <w:numPr>
          <w:ilvl w:val="0"/>
          <w:numId w:val="7"/>
        </w:numPr>
        <w:rPr/>
      </w:pPr>
      <w:r>
        <w:rPr/>
        <w:t xml:space="preserve">At the top of the screen click on “All </w:t>
      </w:r>
      <w:r>
        <w:rPr>
          <w:rFonts w:cs="Wingdings" w:ascii="Wingdings" w:hAnsi="Wingdings"/>
          <w:sz w:val="24"/>
          <w:lang w:eastAsia="en-US"/>
        </w:rPr>
        <w:sym w:font="Wingdings" w:char="f0fc"/>
      </w:r>
      <w:r>
        <w:rPr/>
        <w:t xml:space="preserve"> Rollover”.  </w:t>
      </w:r>
    </w:p>
    <w:p>
      <w:pPr>
        <w:pStyle w:val="Normal"/>
        <w:numPr>
          <w:ilvl w:val="0"/>
          <w:numId w:val="6"/>
        </w:numPr>
        <w:rPr/>
      </w:pPr>
      <w:r>
        <w:rPr/>
        <w:t>Monitor the Batch Status screen for the Confirmation.</w:t>
      </w:r>
    </w:p>
    <w:p>
      <w:pPr>
        <w:pStyle w:val="Normal"/>
        <w:numPr>
          <w:ilvl w:val="0"/>
          <w:numId w:val="6"/>
        </w:numPr>
        <w:rPr/>
      </w:pPr>
      <w:r>
        <w:rPr/>
        <w:t>Once the process is complete:</w:t>
      </w:r>
    </w:p>
    <w:p>
      <w:pPr>
        <w:pStyle w:val="Normal"/>
        <w:tabs>
          <w:tab w:val="clear" w:pos="720"/>
          <w:tab w:val="left" w:pos="360" w:leader="none"/>
        </w:tabs>
        <w:ind w:hanging="360" w:start="360" w:end="0"/>
        <w:rPr/>
      </w:pPr>
      <w:r>
        <w:rPr/>
        <w:t>Fill out the process spreadsheet and place in the three-ring binder;</w:t>
      </w:r>
    </w:p>
    <w:p>
      <w:pPr>
        <w:pStyle w:val="Normal"/>
        <w:tabs>
          <w:tab w:val="clear" w:pos="720"/>
          <w:tab w:val="left" w:pos="360" w:leader="none"/>
        </w:tabs>
        <w:ind w:hanging="360" w:start="360" w:end="0"/>
        <w:rPr/>
      </w:pPr>
      <w:r>
        <w:rPr/>
        <w:t xml:space="preserve">File Process information in the file folder for that Gas Day.  </w:t>
      </w:r>
    </w:p>
    <w:p>
      <w:pPr>
        <w:pStyle w:val="Normal"/>
        <w:tabs>
          <w:tab w:val="clear" w:pos="720"/>
          <w:tab w:val="left" w:pos="360" w:leader="none"/>
        </w:tabs>
        <w:ind w:hanging="360" w:start="360" w:end="0"/>
        <w:rPr/>
      </w:pPr>
      <w:r>
        <w:rPr/>
      </w:r>
    </w:p>
    <w:p>
      <w:pPr>
        <w:pStyle w:val="Normal"/>
        <w:tabs>
          <w:tab w:val="clear" w:pos="720"/>
          <w:tab w:val="left" w:pos="360" w:leader="none"/>
        </w:tabs>
        <w:ind w:hanging="360" w:start="360" w:end="0"/>
        <w:rPr/>
      </w:pPr>
      <w:r>
        <w:rPr/>
      </w:r>
    </w:p>
    <w:p>
      <w:pPr>
        <w:pStyle w:val="Normal"/>
        <w:tabs>
          <w:tab w:val="clear" w:pos="720"/>
          <w:tab w:val="left" w:pos="360" w:leader="none"/>
        </w:tabs>
        <w:ind w:hanging="360" w:start="360" w:end="0"/>
        <w:rPr/>
      </w:pPr>
      <w:r>
        <w:rPr/>
      </w:r>
    </w:p>
    <w:p>
      <w:pPr>
        <w:pStyle w:val="Header"/>
        <w:tabs>
          <w:tab w:val="clear" w:pos="4320"/>
          <w:tab w:val="clear" w:pos="8640"/>
          <w:tab w:val="left" w:pos="360" w:leader="none"/>
        </w:tabs>
        <w:ind w:hanging="360" w:start="360" w:end="0"/>
        <w:rPr>
          <w:b/>
          <w:u w:val="single"/>
        </w:rPr>
      </w:pPr>
      <w:r>
        <w:rPr>
          <w:b/>
          <w:u w:val="single"/>
        </w:rPr>
      </w:r>
    </w:p>
    <w:p>
      <w:pPr>
        <w:pStyle w:val="Header"/>
        <w:tabs>
          <w:tab w:val="clear" w:pos="4320"/>
          <w:tab w:val="clear" w:pos="8640"/>
          <w:tab w:val="left" w:pos="360" w:leader="none"/>
        </w:tabs>
        <w:ind w:hanging="360" w:start="360" w:end="0"/>
        <w:rPr>
          <w:b/>
          <w:u w:val="single"/>
        </w:rPr>
      </w:pPr>
      <w:r>
        <w:rPr>
          <w:b/>
          <w:u w:val="single"/>
        </w:rPr>
      </w:r>
    </w:p>
    <w:p>
      <w:pPr>
        <w:pStyle w:val="Normal"/>
        <w:tabs>
          <w:tab w:val="clear" w:pos="720"/>
          <w:tab w:val="left" w:pos="360" w:leader="none"/>
        </w:tabs>
        <w:ind w:hanging="360" w:start="360" w:end="0"/>
        <w:rPr>
          <w:rFonts w:eastAsia="Arial"/>
        </w:rPr>
      </w:pPr>
      <w:r>
        <w:rPr>
          <w:rFonts w:eastAsia="Arial"/>
        </w:rPr>
        <w:t xml:space="preserve"> </w:t>
      </w:r>
    </w:p>
    <w:p>
      <w:pPr>
        <w:pStyle w:val="Normal"/>
        <w:jc w:val="center"/>
        <w:rPr/>
      </w:pPr>
      <w:r>
        <w:rPr/>
      </w:r>
    </w:p>
    <w:sectPr>
      <w:headerReference w:type="default" r:id="rId2"/>
      <w:type w:val="nextPage"/>
      <w:pgSz w:w="12240" w:h="15840"/>
      <w:pgMar w:left="1800" w:right="144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 Antiqua">
    <w:altName w:val="Times New Roman"/>
    <w:charset w:val="00" w:characterSet="windows-1252"/>
    <w:family w:val="roman"/>
    <w:pitch w:val="variable"/>
  </w:font>
  <w:font w:name="Liberation Sans">
    <w:altName w:val="Arial"/>
    <w:charset w:val="01" w:characterSet="utf-8"/>
    <w:family w:val="swiss"/>
    <w:pitch w:val="variable"/>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sz w:val="28"/>
      </w:rPr>
      <w:t>NNG FINAL 8:00 AM PROCESSING PROCEDURES</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decimal"/>
      <w:lvlText w:val="%1."/>
      <w:lvlJc w:val="start"/>
      <w:pPr>
        <w:tabs>
          <w:tab w:val="num" w:pos="720"/>
        </w:tabs>
        <w:ind w:start="360" w:hanging="360"/>
      </w:pPr>
    </w:lvl>
  </w:abstractNum>
  <w:abstractNum w:abstractNumId="5">
    <w:lvl w:ilvl="0">
      <w:start w:val="1"/>
      <w:numFmt w:val="decimal"/>
      <w:lvlText w:val="%1."/>
      <w:lvlJc w:val="start"/>
      <w:pPr>
        <w:tabs>
          <w:tab w:val="num" w:pos="720"/>
        </w:tabs>
        <w:ind w:start="360" w:hanging="360"/>
      </w:p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2"/>
      <w:szCs w:val="20"/>
      <w:lang w:val="en-US" w:eastAsia="zh-CN" w:bidi="hi-IN"/>
    </w:rPr>
  </w:style>
  <w:style w:type="paragraph" w:styleId="Heading1">
    <w:name w:val="heading 1"/>
    <w:basedOn w:val="Normal"/>
    <w:next w:val="Normal"/>
    <w:qFormat/>
    <w:pPr>
      <w:keepNext w:val="true"/>
      <w:numPr>
        <w:ilvl w:val="0"/>
        <w:numId w:val="1"/>
      </w:numPr>
      <w:pBdr>
        <w:top w:val="single" w:sz="6" w:space="1" w:color="000000"/>
        <w:left w:val="single" w:sz="6" w:space="1" w:color="000000"/>
        <w:bottom w:val="single" w:sz="18" w:space="1" w:color="000000"/>
        <w:right w:val="single" w:sz="6" w:space="1" w:color="000000"/>
      </w:pBdr>
      <w:shd w:fill="E5E5E5" w:val="clear"/>
      <w:tabs>
        <w:tab w:val="clear" w:pos="720"/>
        <w:tab w:val="left" w:pos="0" w:leader="none"/>
      </w:tabs>
      <w:spacing w:before="0" w:after="120"/>
      <w:ind w:hanging="0" w:start="0" w:end="29"/>
      <w:jc w:val="center"/>
      <w:outlineLvl w:val="0"/>
    </w:pPr>
    <w:rPr>
      <w:rFonts w:ascii="Book Antiqua;Times New Roman" w:hAnsi="Book Antiqua;Times New Roman" w:cs="Book Antiqua;Times New Roman"/>
      <w:b/>
      <w:sz w:val="24"/>
    </w:rPr>
  </w:style>
  <w:style w:type="paragraph" w:styleId="Heading2">
    <w:name w:val="heading 2"/>
    <w:basedOn w:val="Normal"/>
    <w:next w:val="Normal"/>
    <w:qFormat/>
    <w:pPr>
      <w:keepNext w:val="true"/>
      <w:numPr>
        <w:ilvl w:val="1"/>
        <w:numId w:val="1"/>
      </w:numPr>
      <w:tabs>
        <w:tab w:val="clear" w:pos="720"/>
        <w:tab w:val="left" w:pos="1080" w:leader="none"/>
      </w:tabs>
      <w:jc w:val="center"/>
      <w:outlineLvl w:val="1"/>
    </w:pPr>
    <w:rPr>
      <w:rFonts w:ascii="Book Antiqua;Times New Roman" w:hAnsi="Book Antiqua;Times New Roman" w:cs="Book Antiqua;Times New Roman"/>
      <w:b/>
      <w:sz w:val="18"/>
    </w:rPr>
  </w:style>
  <w:style w:type="paragraph" w:styleId="Heading3">
    <w:name w:val="heading 3"/>
    <w:basedOn w:val="Normal"/>
    <w:next w:val="Normal"/>
    <w:qFormat/>
    <w:pPr>
      <w:keepNext w:val="true"/>
      <w:numPr>
        <w:ilvl w:val="2"/>
        <w:numId w:val="1"/>
      </w:numPr>
      <w:tabs>
        <w:tab w:val="clear" w:pos="720"/>
        <w:tab w:val="left" w:pos="1080" w:leader="none"/>
      </w:tabs>
      <w:outlineLvl w:val="2"/>
    </w:pPr>
    <w:rPr>
      <w:rFonts w:ascii="Book Antiqua;Times New Roman" w:hAnsi="Book Antiqua;Times New Roman" w:cs="Book Antiqua;Times New Roman"/>
      <w:u w:val="single"/>
    </w:rPr>
  </w:style>
  <w:style w:type="paragraph" w:styleId="Heading4">
    <w:name w:val="heading 4"/>
    <w:basedOn w:val="Normal"/>
    <w:next w:val="Normal"/>
    <w:qFormat/>
    <w:pPr>
      <w:keepNext w:val="true"/>
      <w:numPr>
        <w:ilvl w:val="3"/>
        <w:numId w:val="1"/>
      </w:numPr>
      <w:tabs>
        <w:tab w:val="clear" w:pos="720"/>
        <w:tab w:val="left" w:pos="1080" w:leader="none"/>
      </w:tabs>
      <w:jc w:val="center"/>
      <w:outlineLvl w:val="3"/>
    </w:pPr>
    <w:rPr/>
  </w:style>
  <w:style w:type="character" w:styleId="WW8Num2z0">
    <w:name w:val="WW8Num2z0"/>
    <w:qFormat/>
    <w:rPr/>
  </w:style>
  <w:style w:type="character" w:styleId="WW8Num3z0">
    <w:name w:val="WW8Num3z0"/>
    <w:qFormat/>
    <w:rPr>
      <w:rFonts w:ascii="Book Antiqua;Times New Roman" w:hAnsi="Book Antiqua;Times New Roman" w:cs="Book Antiqua;Times New Roman"/>
      <w:b w:val="false"/>
      <w:i w:val="false"/>
      <w:sz w:val="22"/>
    </w:rPr>
  </w:style>
  <w:style w:type="character" w:styleId="WW8Num5z0">
    <w:name w:val="WW8Num5z0"/>
    <w:qFormat/>
    <w:rPr>
      <w:rFonts w:ascii="Symbol" w:hAnsi="Symbol" w:cs="Symbol"/>
    </w:rPr>
  </w:style>
  <w:style w:type="character" w:styleId="WW8Num8z0">
    <w:name w:val="WW8Num8z0"/>
    <w:qFormat/>
    <w:rPr>
      <w:rFonts w:ascii="Book Antiqua;Times New Roman" w:hAnsi="Book Antiqua;Times New Roman" w:cs="Book Antiqua;Times New Roman"/>
      <w:b w:val="false"/>
      <w:i w:val="false"/>
      <w:sz w:val="22"/>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Book Antiqua;Times New Roman" w:hAnsi="Book Antiqua;Times New Roman" w:cs="Book Antiqua;Times New Roman"/>
      <w:b w:val="false"/>
      <w:i w:val="false"/>
      <w:sz w:val="22"/>
    </w:rPr>
  </w:style>
  <w:style w:type="character" w:styleId="WW8Num12z0">
    <w:name w:val="WW8Num12z0"/>
    <w:qFormat/>
    <w:rPr>
      <w:rFonts w:ascii="Book Antiqua;Times New Roman" w:hAnsi="Book Antiqua;Times New Roman" w:cs="Book Antiqua;Times New Roman"/>
      <w:b w:val="false"/>
      <w:i w:val="false"/>
      <w:sz w:val="22"/>
    </w:rPr>
  </w:style>
  <w:style w:type="character" w:styleId="WW8Num14z0">
    <w:name w:val="WW8Num14z0"/>
    <w:qFormat/>
    <w:rPr>
      <w:rFonts w:ascii="Book Antiqua;Times New Roman" w:hAnsi="Book Antiqua;Times New Roman" w:cs="Book Antiqua;Times New Roman"/>
      <w:b w:val="false"/>
      <w:i w:val="false"/>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ind w:hanging="0" w:start="720" w:end="0"/>
    </w:pPr>
    <w:rPr>
      <w:rFonts w:ascii="Book Antiqua;Times New Roman" w:hAnsi="Book Antiqua;Times New Roman" w:cs="Book Antiqua;Times New Roma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1999-12-17T15:31:00Z</dcterms:created>
  <dc:creator>Carter Moore</dc:creator>
  <dc:description/>
  <dc:language>en-CA</dc:language>
  <cp:lastModifiedBy>Jan Moore</cp:lastModifiedBy>
  <cp:lastPrinted>1999-12-03T14:32:00Z</cp:lastPrinted>
  <dcterms:modified xsi:type="dcterms:W3CDTF">1999-12-17T15:31:00Z</dcterms:modified>
  <cp:revision>2</cp:revision>
  <dc:subject/>
  <dc:title>Description</dc:title>
</cp:coreProperties>
</file>