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6390" w:leader="none"/>
        </w:tabs>
        <w:spacing w:lineRule="exact" w:line="200"/>
        <w:rPr/>
      </w:pPr>
      <w:r>
        <w:rPr/>
        <w:br/>
        <w:br/>
        <w:br/>
        <w:br/>
        <w:br/>
        <w:br/>
        <w:br/>
        <w:br/>
        <w:tab/>
      </w:r>
      <w:r>
        <w:rPr>
          <w:sz w:val="15"/>
        </w:rPr>
        <w:t>EDWIN G. KICHLINE</w:t>
        <w:br/>
        <w:tab/>
        <w:t>DIRECT DIAL: 202 • 955 • 1595</w:t>
        <w:br/>
        <w:tab/>
        <w:t>EMAIL: ekichline@hunton.com</w:t>
        <w:br/>
      </w:r>
      <w:r>
        <w:rPr/>
        <w:t>May 7, 2001</w:t>
        <w:br/>
        <w:tab/>
      </w:r>
      <w:r>
        <w:rPr>
          <w:sz w:val="15"/>
        </w:rPr>
        <w:t>FILE NO: 55430.000037</w:t>
      </w:r>
    </w:p>
    <w:p>
      <w:pPr>
        <w:pStyle w:val="Normal"/>
        <w:widowControl/>
        <w:tabs>
          <w:tab w:val="clear" w:pos="720"/>
          <w:tab w:val="left" w:pos="1620" w:leader="none"/>
          <w:tab w:val="left" w:pos="5850" w:leader="none"/>
          <w:tab w:val="left" w:pos="7020" w:leader="none"/>
          <w:tab w:val="left" w:pos="7200" w:leader="none"/>
        </w:tabs>
        <w:spacing w:lineRule="exact" w:line="280"/>
        <w:rPr/>
      </w:pPr>
      <w:r>
        <w:rPr/>
      </w:r>
    </w:p>
    <w:p>
      <w:pPr>
        <w:pStyle w:val="Normal"/>
        <w:widowControl/>
        <w:tabs>
          <w:tab w:val="clear" w:pos="720"/>
          <w:tab w:val="left" w:pos="1620" w:leader="none"/>
          <w:tab w:val="left" w:pos="5850" w:leader="none"/>
          <w:tab w:val="left" w:pos="7020" w:leader="none"/>
          <w:tab w:val="left" w:pos="7200" w:leader="none"/>
        </w:tabs>
        <w:spacing w:lineRule="exact" w:line="280"/>
        <w:rPr>
          <w:u w:val="single"/>
        </w:rPr>
      </w:pPr>
      <w:bookmarkStart w:id="0" w:name="Body"/>
      <w:bookmarkEnd w:id="0"/>
      <w:r>
        <w:rPr>
          <w:u w:val="single"/>
        </w:rPr>
        <w:t>By Hand</w:t>
      </w:r>
    </w:p>
    <w:p>
      <w:pPr>
        <w:pStyle w:val="Normal"/>
        <w:widowControl/>
        <w:tabs>
          <w:tab w:val="clear" w:pos="720"/>
          <w:tab w:val="left" w:pos="1620" w:leader="none"/>
          <w:tab w:val="left" w:pos="5850" w:leader="none"/>
          <w:tab w:val="left" w:pos="7020" w:leader="none"/>
          <w:tab w:val="left" w:pos="7200" w:leader="none"/>
        </w:tabs>
        <w:spacing w:lineRule="exact" w:line="280"/>
        <w:rPr/>
      </w:pPr>
      <w:r>
        <w:rPr/>
      </w:r>
    </w:p>
    <w:p>
      <w:pPr>
        <w:pStyle w:val="Normal"/>
        <w:widowControl/>
        <w:tabs>
          <w:tab w:val="clear" w:pos="720"/>
          <w:tab w:val="left" w:pos="1620" w:leader="none"/>
          <w:tab w:val="left" w:pos="5850" w:leader="none"/>
          <w:tab w:val="left" w:pos="7020" w:leader="none"/>
          <w:tab w:val="left" w:pos="7200" w:leader="none"/>
        </w:tabs>
        <w:spacing w:lineRule="exact" w:line="280"/>
        <w:rPr/>
      </w:pPr>
      <w:r>
        <w:rPr/>
        <w:t>The Honorable David P. Boergers, Secretary</w:t>
      </w:r>
    </w:p>
    <w:p>
      <w:pPr>
        <w:pStyle w:val="Normal"/>
        <w:widowControl/>
        <w:tabs>
          <w:tab w:val="clear" w:pos="720"/>
          <w:tab w:val="left" w:pos="1620" w:leader="none"/>
          <w:tab w:val="left" w:pos="5850" w:leader="none"/>
          <w:tab w:val="left" w:pos="7020" w:leader="none"/>
          <w:tab w:val="left" w:pos="7200" w:leader="none"/>
        </w:tabs>
        <w:spacing w:lineRule="exact" w:line="280"/>
        <w:rPr/>
      </w:pPr>
      <w:r>
        <w:rPr/>
        <w:t>Federal Energy Regulatory Commission</w:t>
      </w:r>
    </w:p>
    <w:p>
      <w:pPr>
        <w:pStyle w:val="Normal"/>
        <w:widowControl/>
        <w:tabs>
          <w:tab w:val="clear" w:pos="720"/>
          <w:tab w:val="left" w:pos="1620" w:leader="none"/>
          <w:tab w:val="left" w:pos="5850" w:leader="none"/>
          <w:tab w:val="left" w:pos="7020" w:leader="none"/>
          <w:tab w:val="left" w:pos="7200" w:leader="none"/>
        </w:tabs>
        <w:spacing w:lineRule="exact" w:line="280"/>
        <w:rPr/>
      </w:pPr>
      <w:r>
        <w:rPr/>
        <w:t>888 First Street, N.E.</w:t>
      </w:r>
    </w:p>
    <w:p>
      <w:pPr>
        <w:pStyle w:val="Normal"/>
        <w:widowControl/>
        <w:tabs>
          <w:tab w:val="clear" w:pos="720"/>
          <w:tab w:val="left" w:pos="1620" w:leader="none"/>
          <w:tab w:val="left" w:pos="5850" w:leader="none"/>
          <w:tab w:val="left" w:pos="7020" w:leader="none"/>
          <w:tab w:val="left" w:pos="7200" w:leader="none"/>
        </w:tabs>
        <w:spacing w:lineRule="exact" w:line="280"/>
        <w:rPr/>
      </w:pPr>
      <w:r>
        <w:rPr/>
        <w:t>Washington, DC 20426</w:t>
      </w:r>
    </w:p>
    <w:p>
      <w:pPr>
        <w:pStyle w:val="Normal"/>
        <w:widowControl/>
        <w:tabs>
          <w:tab w:val="clear" w:pos="720"/>
          <w:tab w:val="left" w:pos="1620" w:leader="none"/>
          <w:tab w:val="left" w:pos="5850" w:leader="none"/>
          <w:tab w:val="left" w:pos="7020" w:leader="none"/>
          <w:tab w:val="left" w:pos="7200" w:leader="none"/>
        </w:tabs>
        <w:spacing w:lineRule="exact" w:line="280"/>
        <w:rPr/>
      </w:pPr>
      <w:r>
        <w:rPr/>
      </w:r>
    </w:p>
    <w:p>
      <w:pPr>
        <w:pStyle w:val="Normal"/>
        <w:widowControl/>
        <w:tabs>
          <w:tab w:val="clear" w:pos="720"/>
          <w:tab w:val="left" w:pos="1620" w:leader="none"/>
          <w:tab w:val="left" w:pos="5850" w:leader="none"/>
          <w:tab w:val="left" w:pos="7020" w:leader="none"/>
          <w:tab w:val="left" w:pos="7200" w:leader="none"/>
        </w:tabs>
        <w:spacing w:lineRule="exact" w:line="280"/>
        <w:rPr/>
      </w:pPr>
      <w:r>
        <w:rPr/>
      </w:r>
    </w:p>
    <w:p>
      <w:pPr>
        <w:pStyle w:val="Normal"/>
        <w:widowControl/>
        <w:tabs>
          <w:tab w:val="clear" w:pos="720"/>
          <w:tab w:val="left" w:pos="1620" w:leader="none"/>
          <w:tab w:val="left" w:pos="5850" w:leader="none"/>
          <w:tab w:val="left" w:pos="7020" w:leader="none"/>
          <w:tab w:val="left" w:pos="7200" w:leader="none"/>
        </w:tabs>
        <w:spacing w:lineRule="exact" w:line="280"/>
        <w:rPr/>
      </w:pPr>
      <w:r>
        <w:rPr/>
        <w:t>New York Independent System Operator, Inc.</w:t>
      </w:r>
    </w:p>
    <w:p>
      <w:pPr>
        <w:pStyle w:val="Normal"/>
        <w:widowControl/>
        <w:tabs>
          <w:tab w:val="clear" w:pos="720"/>
          <w:tab w:val="left" w:pos="1620" w:leader="none"/>
          <w:tab w:val="left" w:pos="5850" w:leader="none"/>
          <w:tab w:val="left" w:pos="7020" w:leader="none"/>
          <w:tab w:val="left" w:pos="7200" w:leader="none"/>
        </w:tabs>
        <w:spacing w:lineRule="exact" w:line="280"/>
        <w:rPr/>
      </w:pPr>
      <w:r>
        <w:rPr/>
        <w:t>Compliance Filing on Hybrid Fixed Block Pricing Rule</w:t>
      </w:r>
    </w:p>
    <w:p>
      <w:pPr>
        <w:pStyle w:val="Heading1"/>
        <w:widowControl/>
        <w:tabs>
          <w:tab w:val="clear" w:pos="720"/>
          <w:tab w:val="left" w:pos="1620" w:leader="none"/>
          <w:tab w:val="left" w:pos="5850" w:leader="none"/>
          <w:tab w:val="left" w:pos="7020" w:leader="none"/>
          <w:tab w:val="left" w:pos="7200" w:leader="none"/>
        </w:tabs>
        <w:spacing w:lineRule="exact" w:line="280"/>
        <w:ind w:hanging="0" w:start="0"/>
        <w:rPr>
          <w:u w:val="none"/>
        </w:rPr>
      </w:pPr>
      <w:r>
        <w:rPr>
          <w:u w:val="none"/>
        </w:rPr>
        <w:t>Docket Nos. ER00-3591-000, -001, -002,</w:t>
      </w:r>
    </w:p>
    <w:p>
      <w:pPr>
        <w:pStyle w:val="Heading1"/>
        <w:widowControl/>
        <w:tabs>
          <w:tab w:val="clear" w:pos="720"/>
          <w:tab w:val="left" w:pos="1620" w:leader="none"/>
          <w:tab w:val="left" w:pos="5850" w:leader="none"/>
          <w:tab w:val="left" w:pos="7020" w:leader="none"/>
          <w:tab w:val="left" w:pos="7200" w:leader="none"/>
        </w:tabs>
        <w:spacing w:lineRule="exact" w:line="280"/>
        <w:ind w:hanging="0" w:start="0"/>
        <w:rPr>
          <w:u w:val="none"/>
        </w:rPr>
      </w:pPr>
      <w:r>
        <w:rPr>
          <w:u w:val="none"/>
        </w:rPr>
        <w:t xml:space="preserve">ER00-1969-001, ER00-3038-001, -002, </w:t>
      </w:r>
    </w:p>
    <w:p>
      <w:pPr>
        <w:pStyle w:val="Normal"/>
        <w:widowControl/>
        <w:rPr>
          <w:u w:val="single"/>
        </w:rPr>
      </w:pPr>
      <w:r>
        <w:rPr>
          <w:u w:val="single"/>
        </w:rPr>
        <w:t>and EL00-70-002, -003</w:t>
      </w:r>
    </w:p>
    <w:p>
      <w:pPr>
        <w:pStyle w:val="Normal"/>
        <w:widowControl/>
        <w:tabs>
          <w:tab w:val="clear" w:pos="720"/>
          <w:tab w:val="left" w:pos="1620" w:leader="none"/>
          <w:tab w:val="left" w:pos="5850" w:leader="none"/>
          <w:tab w:val="left" w:pos="7020" w:leader="none"/>
          <w:tab w:val="left" w:pos="7200" w:leader="none"/>
        </w:tabs>
        <w:spacing w:lineRule="exact" w:line="280"/>
        <w:jc w:val="center"/>
        <w:rPr>
          <w:u w:val="single"/>
        </w:rPr>
      </w:pPr>
      <w:r>
        <w:rPr>
          <w:u w:val="single"/>
        </w:rPr>
      </w:r>
    </w:p>
    <w:p>
      <w:pPr>
        <w:pStyle w:val="Normal"/>
        <w:widowControl/>
        <w:tabs>
          <w:tab w:val="clear" w:pos="720"/>
          <w:tab w:val="left" w:pos="1620" w:leader="none"/>
          <w:tab w:val="left" w:pos="5850" w:leader="none"/>
          <w:tab w:val="left" w:pos="7020" w:leader="none"/>
          <w:tab w:val="left" w:pos="7200" w:leader="none"/>
        </w:tabs>
        <w:spacing w:lineRule="exact" w:line="280"/>
        <w:rPr/>
      </w:pPr>
      <w:r>
        <w:rPr/>
        <w:t>Dear Mr. Boergers:</w:t>
      </w:r>
    </w:p>
    <w:p>
      <w:pPr>
        <w:pStyle w:val="Normal"/>
        <w:widowControl/>
        <w:tabs>
          <w:tab w:val="clear" w:pos="720"/>
          <w:tab w:val="left" w:pos="1620" w:leader="none"/>
          <w:tab w:val="left" w:pos="5850" w:leader="none"/>
          <w:tab w:val="left" w:pos="7020" w:leader="none"/>
          <w:tab w:val="left" w:pos="7200" w:leader="none"/>
        </w:tabs>
        <w:spacing w:lineRule="exact" w:line="280"/>
        <w:ind w:start="90" w:end="0"/>
        <w:rPr/>
      </w:pPr>
      <w:r>
        <w:rPr/>
      </w:r>
    </w:p>
    <w:p>
      <w:pPr>
        <w:pStyle w:val="Normal"/>
        <w:widowControl/>
        <w:spacing w:lineRule="auto" w:line="480"/>
        <w:rPr/>
      </w:pPr>
      <w:r>
        <w:rPr/>
        <w:t>Pursuant to Ordering Paragraph B of the Commission’s April 26, 2001 order in the above-captioned dockets (“April 26 Order”),</w:t>
      </w:r>
      <w:r>
        <w:rPr>
          <w:rStyle w:val="FootnoteCharacters"/>
          <w:rStyle w:val="FootnoteReference"/>
          <w:sz w:val="24"/>
        </w:rPr>
        <w:footnoteReference w:id="2"/>
      </w:r>
      <w:r>
        <w:rPr/>
        <w:t xml:space="preserve"> the New York Independent System Operator, Inc. (“NYISO”), by counsel, hereby submits revisions to its Open Access Transmission Tariff (“OATT”) and its Market Administration and Control Area Services Tariff (“Services Tariff”) in order to implement the hybrid fixed block pricing rule approved by the Commission in the April 26 Order. </w:t>
      </w:r>
    </w:p>
    <w:p>
      <w:pPr>
        <w:pStyle w:val="Normal"/>
        <w:widowControl/>
        <w:spacing w:lineRule="auto" w:line="480"/>
        <w:jc w:val="center"/>
        <w:rPr>
          <w:u w:val="single"/>
        </w:rPr>
      </w:pPr>
      <w:r>
        <w:rPr>
          <w:u w:val="single"/>
        </w:rPr>
        <w:t>List of Documents Submitted</w:t>
      </w:r>
    </w:p>
    <w:p>
      <w:pPr>
        <w:pStyle w:val="Normal"/>
        <w:widowControl/>
        <w:spacing w:lineRule="auto" w:line="480"/>
        <w:rPr/>
      </w:pPr>
      <w:r>
        <w:rPr/>
        <w:t>The NYISO submits the following documents:</w:t>
      </w:r>
    </w:p>
    <w:p>
      <w:pPr>
        <w:pStyle w:val="Normal"/>
        <w:widowControl/>
        <w:spacing w:lineRule="auto" w:line="480"/>
        <w:rPr/>
      </w:pPr>
      <w:r>
        <w:rPr/>
        <w:t>1.</w:t>
        <w:tab/>
        <w:t>this filing letter;</w:t>
      </w:r>
    </w:p>
    <w:p>
      <w:pPr>
        <w:pStyle w:val="Normal"/>
        <w:widowControl/>
        <w:numPr>
          <w:ilvl w:val="0"/>
          <w:numId w:val="2"/>
        </w:numPr>
        <w:tabs>
          <w:tab w:val="left" w:pos="720" w:leader="none"/>
        </w:tabs>
        <w:spacing w:lineRule="auto" w:line="480"/>
        <w:rPr/>
      </w:pPr>
      <w:r>
        <w:rPr/>
        <w:t>a clean version of the revised portions of the OATT (Attachment I);</w:t>
      </w:r>
    </w:p>
    <w:p>
      <w:pPr>
        <w:pStyle w:val="Normal"/>
        <w:widowControl/>
        <w:numPr>
          <w:ilvl w:val="0"/>
          <w:numId w:val="2"/>
        </w:numPr>
        <w:tabs>
          <w:tab w:val="left" w:pos="720" w:leader="none"/>
        </w:tabs>
        <w:spacing w:lineRule="auto" w:line="480"/>
        <w:rPr/>
      </w:pPr>
      <w:r>
        <w:rPr/>
        <w:t>a clean version of the revised portions of the Services Tariff (Attachment II)</w:t>
      </w:r>
    </w:p>
    <w:p>
      <w:pPr>
        <w:pStyle w:val="Normal"/>
        <w:widowControl/>
        <w:numPr>
          <w:ilvl w:val="0"/>
          <w:numId w:val="2"/>
        </w:numPr>
        <w:tabs>
          <w:tab w:val="left" w:pos="720" w:leader="none"/>
        </w:tabs>
        <w:spacing w:lineRule="auto" w:line="480"/>
        <w:rPr/>
      </w:pPr>
      <w:r>
        <w:rPr/>
        <w:t>a redlined version of the revised portions of the OATT (Attachment III)</w:t>
      </w:r>
    </w:p>
    <w:p>
      <w:pPr>
        <w:pStyle w:val="Normal"/>
        <w:widowControl/>
        <w:numPr>
          <w:ilvl w:val="0"/>
          <w:numId w:val="2"/>
        </w:numPr>
        <w:tabs>
          <w:tab w:val="left" w:pos="720" w:leader="none"/>
        </w:tabs>
        <w:spacing w:lineRule="auto" w:line="480"/>
        <w:rPr/>
      </w:pPr>
      <w:r>
        <w:rPr/>
        <w:t>a redlined version of the revised portions of the Services Tariff (Attachment IV); and</w:t>
      </w:r>
    </w:p>
    <w:p>
      <w:pPr>
        <w:pStyle w:val="Normal"/>
        <w:widowControl/>
        <w:ind w:hanging="720" w:start="720" w:end="0"/>
        <w:rPr/>
      </w:pPr>
      <w:r>
        <w:rPr/>
        <w:t>6.</w:t>
        <w:tab/>
        <w:t xml:space="preserve">a form of </w:t>
      </w:r>
      <w:r>
        <w:rPr>
          <w:i/>
        </w:rPr>
        <w:t>Federal Register</w:t>
      </w:r>
      <w:r>
        <w:rPr/>
        <w:t xml:space="preserve"> Notice (Attachment V).</w:t>
      </w:r>
    </w:p>
    <w:p>
      <w:pPr>
        <w:pStyle w:val="Normal"/>
        <w:widowControl/>
        <w:ind w:hanging="720" w:start="720" w:end="0"/>
        <w:rPr/>
      </w:pPr>
      <w:r>
        <w:rPr/>
      </w:r>
    </w:p>
    <w:p>
      <w:pPr>
        <w:pStyle w:val="Normal"/>
        <w:widowControl/>
        <w:ind w:hanging="720" w:start="720" w:end="0"/>
        <w:jc w:val="center"/>
        <w:rPr>
          <w:u w:val="single"/>
        </w:rPr>
      </w:pPr>
      <w:r>
        <w:rPr>
          <w:u w:val="single"/>
        </w:rPr>
      </w:r>
    </w:p>
    <w:p>
      <w:pPr>
        <w:pStyle w:val="Normal"/>
        <w:widowControl/>
        <w:ind w:hanging="720" w:start="720" w:end="0"/>
        <w:jc w:val="center"/>
        <w:rPr>
          <w:u w:val="single"/>
        </w:rPr>
      </w:pPr>
      <w:r>
        <w:rPr>
          <w:u w:val="single"/>
        </w:rPr>
        <w:t>Copies of Correspondence</w:t>
      </w:r>
    </w:p>
    <w:p>
      <w:pPr>
        <w:pStyle w:val="Normal"/>
        <w:widowControl/>
        <w:ind w:hanging="720" w:start="720" w:end="0"/>
        <w:jc w:val="center"/>
        <w:rPr/>
      </w:pPr>
      <w:r>
        <w:rPr/>
      </w:r>
    </w:p>
    <w:p>
      <w:pPr>
        <w:pStyle w:val="Normal"/>
        <w:widowControl/>
        <w:ind w:hanging="720" w:start="720" w:end="0"/>
        <w:rPr/>
      </w:pPr>
      <w:r>
        <w:rPr/>
        <w:t>Copies of correspondence concerning this filing should be served on:</w:t>
      </w:r>
    </w:p>
    <w:p>
      <w:pPr>
        <w:pStyle w:val="Normal"/>
        <w:widowControl/>
        <w:ind w:hanging="720" w:start="720" w:end="0"/>
        <w:rPr/>
      </w:pPr>
      <w:r>
        <w:rPr/>
      </w:r>
    </w:p>
    <w:p>
      <w:pPr>
        <w:pStyle w:val="Normal"/>
        <w:widowControl/>
        <w:ind w:hanging="720" w:start="720" w:end="0"/>
        <w:rPr/>
      </w:pPr>
      <w:r>
        <w:rPr/>
        <w:t>Robert Fernandez</w:t>
        <w:tab/>
        <w:tab/>
        <w:tab/>
        <w:tab/>
        <w:tab/>
        <w:t>Arnold H. Quint</w:t>
      </w:r>
    </w:p>
    <w:p>
      <w:pPr>
        <w:pStyle w:val="Normal"/>
        <w:widowControl/>
        <w:ind w:hanging="720" w:start="720" w:end="0"/>
        <w:rPr/>
      </w:pPr>
      <w:r>
        <w:rPr/>
        <w:t>General Counsel and Secretary</w:t>
        <w:tab/>
        <w:tab/>
        <w:tab/>
        <w:t>Ted J. Murphy</w:t>
      </w:r>
    </w:p>
    <w:p>
      <w:pPr>
        <w:pStyle w:val="Normal"/>
        <w:widowControl/>
        <w:ind w:hanging="720" w:start="720" w:end="0"/>
        <w:rPr/>
      </w:pPr>
      <w:r>
        <w:rPr/>
        <w:t xml:space="preserve">John P. Buechler </w:t>
        <w:tab/>
        <w:tab/>
        <w:tab/>
        <w:tab/>
        <w:tab/>
        <w:t>Edwin G. Kichline</w:t>
      </w:r>
    </w:p>
    <w:p>
      <w:pPr>
        <w:pStyle w:val="Normal"/>
        <w:widowControl/>
        <w:ind w:hanging="720" w:start="720" w:end="0"/>
        <w:rPr/>
      </w:pPr>
      <w:r>
        <w:rPr/>
        <w:t>Director of Regulatory Affairs</w:t>
        <w:tab/>
        <w:tab/>
        <w:tab/>
        <w:t>Hunton &amp; Williams</w:t>
      </w:r>
    </w:p>
    <w:p>
      <w:pPr>
        <w:pStyle w:val="Normal"/>
        <w:widowControl/>
        <w:ind w:hanging="720" w:start="720" w:end="0"/>
        <w:rPr/>
      </w:pPr>
      <w:r>
        <w:rPr/>
        <w:t>New York Independent System Operator, Inc.</w:t>
        <w:tab/>
        <w:t>1900 K Street, N.W., Suite 1200</w:t>
      </w:r>
    </w:p>
    <w:p>
      <w:pPr>
        <w:pStyle w:val="Normal"/>
        <w:widowControl/>
        <w:ind w:hanging="720" w:start="720" w:end="0"/>
        <w:rPr/>
      </w:pPr>
      <w:r>
        <w:rPr/>
        <w:t>3890 Carman Road</w:t>
        <w:tab/>
        <w:tab/>
        <w:tab/>
        <w:tab/>
        <w:tab/>
        <w:t>Washington, DC 20006</w:t>
      </w:r>
    </w:p>
    <w:p>
      <w:pPr>
        <w:pStyle w:val="Normal"/>
        <w:widowControl/>
        <w:ind w:hanging="720" w:start="720" w:end="0"/>
        <w:rPr/>
      </w:pPr>
      <w:r>
        <w:rPr/>
        <w:t>Schenectady, NY 12303</w:t>
      </w:r>
    </w:p>
    <w:p>
      <w:pPr>
        <w:pStyle w:val="Normal"/>
        <w:widowControl/>
        <w:ind w:hanging="720" w:start="720" w:end="0"/>
        <w:rPr/>
      </w:pPr>
      <w:r>
        <w:rPr/>
      </w:r>
    </w:p>
    <w:p>
      <w:pPr>
        <w:pStyle w:val="Normal"/>
        <w:widowControl/>
        <w:ind w:hanging="720" w:start="720" w:end="0"/>
        <w:rPr/>
      </w:pPr>
      <w:r>
        <w:rPr/>
      </w:r>
    </w:p>
    <w:p>
      <w:pPr>
        <w:pStyle w:val="Normal"/>
        <w:widowControl/>
        <w:ind w:hanging="720" w:start="720" w:end="0"/>
        <w:jc w:val="center"/>
        <w:rPr>
          <w:u w:val="single"/>
        </w:rPr>
      </w:pPr>
      <w:r>
        <w:rPr>
          <w:u w:val="single"/>
        </w:rPr>
        <w:t>Proposed Effective Date</w:t>
      </w:r>
    </w:p>
    <w:p>
      <w:pPr>
        <w:pStyle w:val="Normal"/>
        <w:widowControl/>
        <w:ind w:hanging="720" w:start="720" w:end="0"/>
        <w:jc w:val="center"/>
        <w:rPr/>
      </w:pPr>
      <w:r>
        <w:rPr/>
      </w:r>
    </w:p>
    <w:p>
      <w:pPr>
        <w:pStyle w:val="Normal"/>
        <w:widowControl/>
        <w:spacing w:lineRule="auto" w:line="480"/>
        <w:rPr/>
      </w:pPr>
      <w:r>
        <w:rPr/>
        <w:t>The NYISO proposes to make this filing effective on May 1, 2001, the effective date approved by the Commission in the April 26 Order.</w:t>
      </w:r>
    </w:p>
    <w:p>
      <w:pPr>
        <w:pStyle w:val="Normal"/>
        <w:widowControl/>
        <w:ind w:hanging="720" w:start="720" w:end="0"/>
        <w:jc w:val="center"/>
        <w:rPr/>
      </w:pPr>
      <w:r>
        <w:rPr/>
        <w:t>Names and Addresses of Persons to Whom</w:t>
      </w:r>
    </w:p>
    <w:p>
      <w:pPr>
        <w:pStyle w:val="Normal"/>
        <w:widowControl/>
        <w:ind w:hanging="720" w:start="720" w:end="0"/>
        <w:jc w:val="center"/>
        <w:rPr>
          <w:u w:val="single"/>
        </w:rPr>
      </w:pPr>
      <w:r>
        <w:rPr>
          <w:u w:val="single"/>
        </w:rPr>
        <w:t>a Copy of the Rate Schedule Change Has Been Mailed</w:t>
      </w:r>
    </w:p>
    <w:p>
      <w:pPr>
        <w:pStyle w:val="Normal"/>
        <w:widowControl/>
        <w:ind w:hanging="720" w:start="720" w:end="0"/>
        <w:jc w:val="center"/>
        <w:rPr>
          <w:u w:val="single"/>
        </w:rPr>
      </w:pPr>
      <w:r>
        <w:rPr>
          <w:u w:val="single"/>
        </w:rPr>
      </w:r>
    </w:p>
    <w:p>
      <w:pPr>
        <w:pStyle w:val="Heading1"/>
        <w:widowControl/>
        <w:tabs>
          <w:tab w:val="clear" w:pos="720"/>
          <w:tab w:val="left" w:pos="1620" w:leader="none"/>
          <w:tab w:val="left" w:pos="5850" w:leader="none"/>
          <w:tab w:val="left" w:pos="7020" w:leader="none"/>
          <w:tab w:val="left" w:pos="7200" w:leader="none"/>
        </w:tabs>
        <w:spacing w:lineRule="auto" w:line="480"/>
        <w:ind w:hanging="0" w:start="0"/>
        <w:rPr>
          <w:u w:val="none"/>
        </w:rPr>
      </w:pPr>
      <w:r>
        <w:rPr>
          <w:u w:val="none"/>
        </w:rPr>
        <w:t>The NYISO has mailed a copy of this filing to all parties on the official service lists maintained by the Commission in Docket Nos. ER00-3591-000, -001, -002, ER00-1969-001, ER00-3038-001, -002, and EL00-70-002, -003.</w:t>
      </w:r>
    </w:p>
    <w:p>
      <w:pPr>
        <w:pStyle w:val="Normal"/>
        <w:widowControl/>
        <w:ind w:hanging="720" w:start="720" w:end="0"/>
        <w:rPr>
          <w:u w:val="none"/>
        </w:rPr>
      </w:pPr>
      <w:r>
        <w:rPr>
          <w:u w:val="none"/>
        </w:rPr>
      </w:r>
    </w:p>
    <w:p>
      <w:pPr>
        <w:pStyle w:val="Normal"/>
        <w:widowControl/>
        <w:ind w:hanging="720" w:start="720" w:end="0"/>
        <w:jc w:val="center"/>
        <w:rPr>
          <w:u w:val="single"/>
        </w:rPr>
      </w:pPr>
      <w:r>
        <w:rPr>
          <w:u w:val="single"/>
        </w:rPr>
        <w:t>Statement of the Reasons for and Brief Description of the Rate Schedule Change</w:t>
      </w:r>
    </w:p>
    <w:p>
      <w:pPr>
        <w:pStyle w:val="Normal"/>
        <w:widowControl/>
        <w:ind w:hanging="720" w:start="720" w:end="0"/>
        <w:jc w:val="center"/>
        <w:rPr/>
      </w:pPr>
      <w:r>
        <w:rPr/>
      </w:r>
    </w:p>
    <w:p>
      <w:pPr>
        <w:pStyle w:val="Normal"/>
        <w:widowControl/>
        <w:spacing w:lineRule="auto" w:line="480"/>
        <w:rPr/>
      </w:pPr>
      <w:r>
        <w:rPr/>
        <w:t>The NYISO is submitting the revised tariff sheets in compliance with the requirements of the April 26 Order which states, “[A]lthough we conclude that NYISO’s proposal is consistent with its Services Tariff, NYISO must file with the Commission compliance tariff sheets to describe the hybrid fixed block pricing rule.”</w:t>
      </w:r>
      <w:r>
        <w:rPr>
          <w:rStyle w:val="FootnoteCharacters"/>
          <w:rStyle w:val="FootnoteReference"/>
          <w:sz w:val="24"/>
        </w:rPr>
        <w:footnoteReference w:id="3"/>
      </w:r>
      <w:r>
        <w:rPr/>
        <w:t xml:space="preserve">  The NYISO thus submits revisions to its description of LBMP calculation which appears in both its OATT and Services Tariff.  The NYISO also adds “Fixed Block Unit” as a defined term in each tariff.</w:t>
      </w:r>
    </w:p>
    <w:p>
      <w:pPr>
        <w:pStyle w:val="Normal"/>
        <w:widowControl/>
        <w:rPr/>
      </w:pPr>
      <w:r>
        <w:rPr/>
      </w:r>
    </w:p>
    <w:p>
      <w:pPr>
        <w:pStyle w:val="Normal"/>
        <w:widowControl/>
        <w:spacing w:lineRule="auto" w:line="480"/>
        <w:jc w:val="center"/>
        <w:rPr>
          <w:u w:val="single"/>
        </w:rPr>
      </w:pPr>
      <w:r>
        <w:rPr>
          <w:u w:val="single"/>
        </w:rPr>
        <w:t>No Costs Relating to Discriminatory Employment Practices</w:t>
      </w:r>
    </w:p>
    <w:p>
      <w:pPr>
        <w:pStyle w:val="Normal"/>
        <w:widowControl/>
        <w:spacing w:lineRule="auto" w:line="480"/>
        <w:rPr/>
      </w:pPr>
      <w:r>
        <w:rPr/>
        <w:t>The NYISO has no expenses or costs that have been alleged or judged to be illegal, duplicate, or unnecessary costs that are demonstrably the product of discriminatory employment practices.</w:t>
      </w:r>
    </w:p>
    <w:p>
      <w:pPr>
        <w:pStyle w:val="Normal"/>
        <w:widowControl/>
        <w:spacing w:lineRule="auto" w:line="480"/>
        <w:jc w:val="center"/>
        <w:rPr>
          <w:i/>
          <w:i/>
          <w:u w:val="single"/>
        </w:rPr>
      </w:pPr>
      <w:r>
        <w:rPr>
          <w:i/>
          <w:u w:val="single"/>
        </w:rPr>
        <w:t>Federal Register</w:t>
      </w:r>
      <w:r>
        <w:rPr>
          <w:u w:val="single"/>
        </w:rPr>
        <w:t xml:space="preserve"> Notice</w:t>
      </w:r>
    </w:p>
    <w:p>
      <w:pPr>
        <w:pStyle w:val="Normal"/>
        <w:widowControl/>
        <w:spacing w:lineRule="auto" w:line="480"/>
        <w:rPr/>
      </w:pPr>
      <w:r>
        <w:rPr/>
        <w:t xml:space="preserve">A form of </w:t>
      </w:r>
      <w:r>
        <w:rPr>
          <w:i/>
        </w:rPr>
        <w:t>Federal Register</w:t>
      </w:r>
      <w:r>
        <w:rPr/>
        <w:t xml:space="preserve"> Notice is provided as Attachment III hereto.  A diskette of the Notice is also provided in WordPerfect format.</w:t>
      </w:r>
    </w:p>
    <w:p>
      <w:pPr>
        <w:pStyle w:val="Normal"/>
        <w:widowControl/>
        <w:spacing w:lineRule="auto" w:line="480"/>
        <w:rPr/>
      </w:pPr>
      <w:r>
        <w:rPr/>
      </w:r>
    </w:p>
    <w:p>
      <w:pPr>
        <w:pStyle w:val="Normal"/>
        <w:widowControl/>
        <w:rPr/>
      </w:pPr>
      <w:r>
        <w:rPr/>
        <w:tab/>
        <w:tab/>
        <w:tab/>
        <w:tab/>
        <w:tab/>
        <w:tab/>
        <w:t>Respectfully submitted,</w:t>
      </w:r>
    </w:p>
    <w:p>
      <w:pPr>
        <w:pStyle w:val="Normal"/>
        <w:widowControl/>
        <w:rPr/>
      </w:pPr>
      <w:r>
        <w:rPr/>
      </w:r>
    </w:p>
    <w:p>
      <w:pPr>
        <w:pStyle w:val="Normal"/>
        <w:widowControl/>
        <w:rPr/>
      </w:pPr>
      <w:r>
        <w:rPr/>
      </w:r>
    </w:p>
    <w:p>
      <w:pPr>
        <w:pStyle w:val="Normal"/>
        <w:widowControl/>
        <w:rPr/>
      </w:pPr>
      <w:r>
        <w:rPr/>
        <w:tab/>
        <w:tab/>
        <w:tab/>
        <w:tab/>
        <w:tab/>
        <w:tab/>
      </w:r>
    </w:p>
    <w:p>
      <w:pPr>
        <w:pStyle w:val="Normal"/>
        <w:widowControl/>
        <w:rPr/>
      </w:pPr>
      <w:r>
        <w:rPr/>
        <w:tab/>
        <w:tab/>
        <w:tab/>
        <w:tab/>
        <w:tab/>
        <w:tab/>
        <w:t>Edwin G. Kichline</w:t>
      </w:r>
    </w:p>
    <w:p>
      <w:pPr>
        <w:pStyle w:val="Normal"/>
        <w:widowControl/>
        <w:rPr/>
      </w:pPr>
      <w:r>
        <w:rPr/>
        <w:tab/>
        <w:tab/>
        <w:tab/>
        <w:tab/>
        <w:tab/>
        <w:tab/>
        <w:t>Counsel for</w:t>
      </w:r>
    </w:p>
    <w:p>
      <w:pPr>
        <w:pStyle w:val="Normal"/>
        <w:widowControl/>
        <w:rPr/>
      </w:pPr>
      <w:r>
        <w:rPr/>
        <w:tab/>
        <w:tab/>
        <w:tab/>
        <w:tab/>
        <w:tab/>
        <w:tab/>
        <w:t>New York Independent System Operator, Inc.</w:t>
      </w:r>
    </w:p>
    <w:p>
      <w:pPr>
        <w:pStyle w:val="Normal"/>
        <w:widowControl/>
        <w:rPr/>
      </w:pPr>
      <w:r>
        <w:rPr/>
      </w:r>
    </w:p>
    <w:p>
      <w:pPr>
        <w:pStyle w:val="Normal"/>
        <w:widowControl/>
        <w:rPr/>
      </w:pPr>
      <w:r>
        <w:rPr/>
      </w:r>
    </w:p>
    <w:p>
      <w:pPr>
        <w:pStyle w:val="Normal"/>
        <w:widowControl/>
        <w:tabs>
          <w:tab w:val="clear" w:pos="720"/>
          <w:tab w:val="left" w:pos="2160" w:leader="none"/>
        </w:tabs>
        <w:ind w:hanging="720" w:start="720" w:end="0"/>
        <w:rPr/>
      </w:pPr>
      <w:r>
        <w:rPr/>
        <w:t>cc:</w:t>
        <w:tab/>
        <w:t>Mr. Daniel L. Larcamp, Director, Office of Markets, Tariffs and Rates, Room 8A-01,</w:t>
      </w:r>
    </w:p>
    <w:p>
      <w:pPr>
        <w:pStyle w:val="Normal"/>
        <w:widowControl/>
        <w:tabs>
          <w:tab w:val="clear" w:pos="720"/>
          <w:tab w:val="left" w:pos="2160" w:leader="none"/>
        </w:tabs>
        <w:ind w:hanging="720" w:start="720" w:end="0"/>
        <w:rPr/>
      </w:pPr>
      <w:r>
        <w:rPr/>
        <w:tab/>
        <w:tab/>
        <w:t>Tel. (202) 208-2088</w:t>
      </w:r>
    </w:p>
    <w:p>
      <w:pPr>
        <w:pStyle w:val="Normal"/>
        <w:widowControl/>
        <w:tabs>
          <w:tab w:val="clear" w:pos="720"/>
          <w:tab w:val="left" w:pos="2160" w:leader="none"/>
        </w:tabs>
        <w:ind w:hanging="720" w:start="720" w:end="0"/>
        <w:rPr/>
      </w:pPr>
      <w:r>
        <w:rPr/>
        <w:tab/>
        <w:t xml:space="preserve">Ms. Alice M. Fernandez, Director Office of Markets, Tariffs and Rates—East Division, </w:t>
        <w:tab/>
        <w:t>Room 82-15, Tel. (202) 208-0089</w:t>
      </w:r>
    </w:p>
    <w:p>
      <w:pPr>
        <w:pStyle w:val="Normal"/>
        <w:widowControl/>
        <w:tabs>
          <w:tab w:val="clear" w:pos="720"/>
          <w:tab w:val="left" w:pos="2160" w:leader="none"/>
        </w:tabs>
        <w:ind w:hanging="720" w:start="720" w:end="0"/>
        <w:rPr/>
      </w:pPr>
      <w:r>
        <w:rPr/>
        <w:tab/>
        <w:t>Ms. Andrea Wolfman, Office of the General Counsel, Room 101-29,</w:t>
      </w:r>
    </w:p>
    <w:p>
      <w:pPr>
        <w:pStyle w:val="Normal"/>
        <w:widowControl/>
        <w:tabs>
          <w:tab w:val="clear" w:pos="720"/>
          <w:tab w:val="left" w:pos="2160" w:leader="none"/>
        </w:tabs>
        <w:ind w:hanging="720" w:start="720" w:end="0"/>
        <w:rPr/>
      </w:pPr>
      <w:r>
        <w:rPr/>
        <w:tab/>
        <w:tab/>
        <w:t xml:space="preserve">Tel. (202) 208-2097 </w:t>
      </w:r>
    </w:p>
    <w:p>
      <w:pPr>
        <w:pStyle w:val="Normal"/>
        <w:widowControl/>
        <w:tabs>
          <w:tab w:val="clear" w:pos="720"/>
          <w:tab w:val="left" w:pos="2160" w:leader="none"/>
        </w:tabs>
        <w:ind w:hanging="720" w:start="720" w:end="0"/>
        <w:rPr/>
      </w:pPr>
      <w:r>
        <w:rPr/>
        <w:tab/>
        <w:t>Mr. Stanley Wolf, Office of the General Counsel, Room 102-37,</w:t>
      </w:r>
    </w:p>
    <w:p>
      <w:pPr>
        <w:pStyle w:val="Normal"/>
        <w:widowControl/>
        <w:tabs>
          <w:tab w:val="clear" w:pos="720"/>
          <w:tab w:val="left" w:pos="2160" w:leader="none"/>
        </w:tabs>
        <w:ind w:hanging="720" w:start="720" w:end="0"/>
        <w:rPr/>
      </w:pPr>
      <w:r>
        <w:rPr/>
        <w:tab/>
        <w:tab/>
        <w:t>Tel. (202) 208-0891</w:t>
      </w:r>
    </w:p>
    <w:p>
      <w:pPr>
        <w:pStyle w:val="Normal"/>
        <w:widowControl/>
        <w:tabs>
          <w:tab w:val="clear" w:pos="720"/>
          <w:tab w:val="left" w:pos="2160" w:leader="none"/>
        </w:tabs>
        <w:ind w:hanging="720" w:start="720" w:end="0"/>
        <w:rPr/>
      </w:pPr>
      <w:r>
        <w:rPr/>
        <w:tab/>
        <w:t>Mr. Michael Bardee, Office of the General Counsel, Room 101-09,</w:t>
      </w:r>
    </w:p>
    <w:p>
      <w:pPr>
        <w:pStyle w:val="Normal"/>
        <w:widowControl/>
        <w:tabs>
          <w:tab w:val="clear" w:pos="720"/>
          <w:tab w:val="left" w:pos="2160" w:leader="none"/>
        </w:tabs>
        <w:ind w:hanging="720" w:start="720" w:end="0"/>
        <w:rPr/>
      </w:pPr>
      <w:r>
        <w:rPr/>
        <w:tab/>
        <w:tab/>
        <w:t xml:space="preserve">Tel. (202) 202-2068 </w:t>
      </w:r>
    </w:p>
    <w:p>
      <w:pPr>
        <w:pStyle w:val="Normal"/>
        <w:widowControl/>
        <w:tabs>
          <w:tab w:val="clear" w:pos="720"/>
          <w:tab w:val="left" w:pos="2160" w:leader="none"/>
        </w:tabs>
        <w:ind w:hanging="720" w:start="720" w:end="0"/>
        <w:rPr/>
      </w:pPr>
      <w:r>
        <w:rPr/>
        <w:tab/>
      </w:r>
    </w:p>
    <w:p>
      <w:pPr>
        <w:pStyle w:val="Normal"/>
        <w:widowControl/>
        <w:tabs>
          <w:tab w:val="clear" w:pos="720"/>
          <w:tab w:val="left" w:pos="1620" w:leader="none"/>
          <w:tab w:val="left" w:pos="5850" w:leader="none"/>
          <w:tab w:val="left" w:pos="7020" w:leader="none"/>
          <w:tab w:val="left" w:pos="7200" w:leader="none"/>
        </w:tabs>
        <w:spacing w:lineRule="exact" w:line="280"/>
        <w:ind w:start="90" w:end="0"/>
        <w:rPr/>
      </w:pPr>
      <w:r>
        <w:rPr/>
      </w:r>
    </w:p>
    <w:p>
      <w:pPr>
        <w:sectPr>
          <w:headerReference w:type="default" r:id="rId2"/>
          <w:headerReference w:type="first" r:id="rId3"/>
          <w:footerReference w:type="default" r:id="rId4"/>
          <w:footerReference w:type="first" r:id="rId5"/>
          <w:footnotePr>
            <w:numFmt w:val="decimal"/>
          </w:footnotePr>
          <w:type w:val="nextPage"/>
          <w:pgSz w:w="12240" w:h="15840"/>
          <w:pgMar w:left="1526" w:right="1440" w:gutter="0" w:header="1426" w:top="1482" w:footer="720" w:bottom="776"/>
          <w:pgNumType w:fmt="decimal"/>
          <w:formProt w:val="false"/>
          <w:titlePg/>
          <w:textDirection w:val="lrTb"/>
          <w:docGrid w:type="default" w:linePitch="360" w:charSpace="0"/>
        </w:sectPr>
        <w:pStyle w:val="Normal"/>
        <w:widowControl/>
        <w:tabs>
          <w:tab w:val="clear" w:pos="720"/>
          <w:tab w:val="left" w:pos="1620" w:leader="none"/>
          <w:tab w:val="left" w:pos="5850" w:leader="none"/>
          <w:tab w:val="left" w:pos="7020" w:leader="none"/>
          <w:tab w:val="left" w:pos="7200" w:leader="none"/>
        </w:tabs>
        <w:spacing w:lineRule="exact" w:line="280"/>
        <w:ind w:start="90" w:end="0"/>
        <w:rPr/>
      </w:pPr>
      <w:r>
        <w:rPr/>
      </w:r>
    </w:p>
    <w:p>
      <w:pPr>
        <w:pStyle w:val="Normal"/>
        <w:widowControl/>
        <w:suppressAutoHyphens w:val="true"/>
        <w:jc w:val="center"/>
        <w:rPr/>
      </w:pPr>
      <w:bookmarkStart w:id="1" w:name="EmailFont"/>
      <w:bookmarkStart w:id="2" w:name="Attorney"/>
      <w:bookmarkEnd w:id="1"/>
      <w:bookmarkEnd w:id="2"/>
      <w:r>
        <w:rPr/>
        <w:t>UNITED STATES OF AMERICA</w:t>
      </w:r>
    </w:p>
    <w:p>
      <w:pPr>
        <w:pStyle w:val="Normal"/>
        <w:widowControl/>
        <w:suppressAutoHyphens w:val="true"/>
        <w:jc w:val="center"/>
        <w:rPr/>
      </w:pPr>
      <w:r>
        <w:rPr/>
        <w:t>BEFORE THE</w:t>
      </w:r>
    </w:p>
    <w:p>
      <w:pPr>
        <w:pStyle w:val="Normal"/>
        <w:widowControl/>
        <w:suppressAutoHyphens w:val="true"/>
        <w:spacing w:lineRule="auto" w:line="480"/>
        <w:jc w:val="center"/>
        <w:rPr/>
      </w:pPr>
      <w:r>
        <w:rPr/>
        <w:t>FEDERAL ENERGY REGULATORY COMMISSION</w:t>
      </w:r>
    </w:p>
    <w:p>
      <w:pPr>
        <w:pStyle w:val="Normal"/>
        <w:widowControl/>
        <w:suppressAutoHyphens w:val="true"/>
        <w:rPr/>
      </w:pPr>
      <w:r>
        <w:rPr/>
      </w:r>
    </w:p>
    <w:p>
      <w:pPr>
        <w:pStyle w:val="Normal"/>
        <w:widowControl/>
        <w:suppressAutoHyphens w:val="true"/>
        <w:rPr/>
      </w:pPr>
      <w:r>
        <w:rPr/>
        <w:t>New York Independent System Operator, Inc.</w:t>
        <w:tab/>
        <w:t>)</w:t>
        <w:tab/>
        <w:t>Docket Nos. ER00-3591-000,</w:t>
      </w:r>
    </w:p>
    <w:p>
      <w:pPr>
        <w:pStyle w:val="Normal"/>
        <w:widowControl/>
        <w:tabs>
          <w:tab w:val="clear" w:pos="720"/>
          <w:tab w:val="left" w:pos="7020" w:leader="none"/>
        </w:tabs>
        <w:suppressAutoHyphens w:val="true"/>
        <w:rPr/>
      </w:pPr>
      <w:r>
        <w:rPr/>
        <w:tab/>
        <w:t>ER00-3591-001,</w:t>
      </w:r>
    </w:p>
    <w:p>
      <w:pPr>
        <w:pStyle w:val="Normal"/>
        <w:widowControl/>
        <w:tabs>
          <w:tab w:val="clear" w:pos="720"/>
          <w:tab w:val="left" w:pos="7020" w:leader="none"/>
        </w:tabs>
        <w:suppressAutoHyphens w:val="true"/>
        <w:rPr/>
      </w:pPr>
      <w:r>
        <w:rPr/>
        <w:tab/>
        <w:t>ER00-3591-002,</w:t>
      </w:r>
    </w:p>
    <w:p>
      <w:pPr>
        <w:pStyle w:val="Normal"/>
        <w:widowControl/>
        <w:tabs>
          <w:tab w:val="clear" w:pos="720"/>
          <w:tab w:val="left" w:pos="7020" w:leader="none"/>
        </w:tabs>
        <w:suppressAutoHyphens w:val="true"/>
        <w:rPr/>
      </w:pPr>
      <w:r>
        <w:rPr/>
        <w:tab/>
        <w:t>and</w:t>
      </w:r>
    </w:p>
    <w:p>
      <w:pPr>
        <w:pStyle w:val="Normal"/>
        <w:widowControl/>
        <w:tabs>
          <w:tab w:val="clear" w:pos="720"/>
          <w:tab w:val="left" w:pos="7020" w:leader="none"/>
        </w:tabs>
        <w:suppressAutoHyphens w:val="true"/>
        <w:rPr/>
      </w:pPr>
      <w:r>
        <w:rPr/>
        <w:tab/>
        <w:t>ER00-1969-001,</w:t>
      </w:r>
    </w:p>
    <w:p>
      <w:pPr>
        <w:pStyle w:val="Normal"/>
        <w:widowControl/>
        <w:tabs>
          <w:tab w:val="clear" w:pos="720"/>
          <w:tab w:val="left" w:pos="7020" w:leader="none"/>
        </w:tabs>
        <w:suppressAutoHyphens w:val="true"/>
        <w:rPr/>
      </w:pPr>
      <w:r>
        <w:rPr/>
      </w:r>
    </w:p>
    <w:p>
      <w:pPr>
        <w:pStyle w:val="Normal"/>
        <w:widowControl/>
        <w:tabs>
          <w:tab w:val="clear" w:pos="720"/>
          <w:tab w:val="left" w:pos="5040" w:leader="none"/>
          <w:tab w:val="left" w:pos="5760" w:leader="none"/>
        </w:tabs>
        <w:suppressAutoHyphens w:val="true"/>
        <w:rPr/>
      </w:pPr>
      <w:r>
        <w:rPr/>
        <w:t>New York Independent System Operator, Inc.</w:t>
        <w:tab/>
        <w:t>)</w:t>
        <w:tab/>
        <w:t>Docket Nos. ER00-3038-01 and</w:t>
      </w:r>
    </w:p>
    <w:p>
      <w:pPr>
        <w:pStyle w:val="Normal"/>
        <w:widowControl/>
        <w:tabs>
          <w:tab w:val="clear" w:pos="720"/>
          <w:tab w:val="left" w:pos="7020" w:leader="none"/>
        </w:tabs>
        <w:suppressAutoHyphens w:val="true"/>
        <w:rPr/>
      </w:pPr>
      <w:r>
        <w:rPr/>
        <w:tab/>
        <w:t>ER00-3038-002</w:t>
      </w:r>
    </w:p>
    <w:p>
      <w:pPr>
        <w:pStyle w:val="Normal"/>
        <w:widowControl/>
        <w:tabs>
          <w:tab w:val="clear" w:pos="720"/>
          <w:tab w:val="left" w:pos="7020" w:leader="none"/>
        </w:tabs>
        <w:suppressAutoHyphens w:val="true"/>
        <w:rPr/>
      </w:pPr>
      <w:r>
        <w:rPr/>
      </w:r>
    </w:p>
    <w:p>
      <w:pPr>
        <w:pStyle w:val="Normal"/>
        <w:widowControl/>
        <w:tabs>
          <w:tab w:val="clear" w:pos="720"/>
          <w:tab w:val="left" w:pos="5040" w:leader="none"/>
          <w:tab w:val="left" w:pos="5760" w:leader="none"/>
        </w:tabs>
        <w:suppressAutoHyphens w:val="true"/>
        <w:rPr/>
      </w:pPr>
      <w:r>
        <w:rPr/>
        <w:t>New York State Electric &amp; Gas Corp.</w:t>
        <w:tab/>
        <w:t>)</w:t>
        <w:tab/>
        <w:t>Docket Nos. EL00-70-002 and</w:t>
      </w:r>
    </w:p>
    <w:p>
      <w:pPr>
        <w:pStyle w:val="Normal"/>
        <w:widowControl/>
        <w:tabs>
          <w:tab w:val="clear" w:pos="720"/>
          <w:tab w:val="left" w:pos="1440" w:leader="none"/>
          <w:tab w:val="left" w:pos="5040" w:leader="none"/>
          <w:tab w:val="left" w:pos="5760" w:leader="none"/>
        </w:tabs>
        <w:suppressAutoHyphens w:val="true"/>
        <w:rPr/>
      </w:pPr>
      <w:r>
        <w:rPr/>
        <w:tab/>
        <w:t>v.</w:t>
        <w:tab/>
        <w:t>)</w:t>
        <w:tab/>
        <w:tab/>
        <w:tab/>
        <w:t>EL00-70-003</w:t>
      </w:r>
    </w:p>
    <w:p>
      <w:pPr>
        <w:pStyle w:val="Normal"/>
        <w:widowControl/>
        <w:tabs>
          <w:tab w:val="clear" w:pos="720"/>
          <w:tab w:val="left" w:pos="5040" w:leader="none"/>
          <w:tab w:val="left" w:pos="5760" w:leader="none"/>
        </w:tabs>
        <w:suppressAutoHyphens w:val="true"/>
        <w:rPr/>
      </w:pPr>
      <w:r>
        <w:rPr/>
        <w:t>New York Independent System Operator, Inc.</w:t>
        <w:tab/>
        <w:t>)</w:t>
        <w:tab/>
      </w:r>
    </w:p>
    <w:p>
      <w:pPr>
        <w:pStyle w:val="Normal"/>
        <w:widowControl/>
        <w:tabs>
          <w:tab w:val="clear" w:pos="720"/>
          <w:tab w:val="left" w:pos="7020" w:leader="none"/>
        </w:tabs>
        <w:suppressAutoHyphens w:val="true"/>
        <w:rPr/>
      </w:pPr>
      <w:r>
        <w:rPr/>
        <w:tab/>
      </w:r>
    </w:p>
    <w:p>
      <w:pPr>
        <w:pStyle w:val="Normal"/>
        <w:widowControl/>
        <w:tabs>
          <w:tab w:val="clear" w:pos="720"/>
          <w:tab w:val="left" w:pos="7020" w:leader="none"/>
        </w:tabs>
        <w:suppressAutoHyphens w:val="true"/>
        <w:rPr/>
      </w:pPr>
      <w:r>
        <w:rPr/>
      </w:r>
    </w:p>
    <w:p>
      <w:pPr>
        <w:pStyle w:val="Normal"/>
        <w:widowControl/>
        <w:suppressAutoHyphens w:val="true"/>
        <w:jc w:val="center"/>
        <w:rPr>
          <w:u w:val="single"/>
        </w:rPr>
      </w:pPr>
      <w:r>
        <w:rPr>
          <w:u w:val="single"/>
        </w:rPr>
        <w:t>NOTICE OF FILING</w:t>
      </w:r>
    </w:p>
    <w:p>
      <w:pPr>
        <w:pStyle w:val="Normal"/>
        <w:widowControl/>
        <w:suppressAutoHyphens w:val="true"/>
        <w:rPr>
          <w:u w:val="single"/>
        </w:rPr>
      </w:pPr>
      <w:r>
        <w:rPr>
          <w:u w:val="single"/>
        </w:rPr>
      </w:r>
    </w:p>
    <w:p>
      <w:pPr>
        <w:pStyle w:val="Normal"/>
        <w:widowControl/>
        <w:suppressAutoHyphens w:val="true"/>
        <w:rPr/>
      </w:pPr>
      <w:r>
        <w:rPr/>
        <w:tab/>
        <w:t>Take notice that on May 7, 2001, the New York Independent System Operator, Inc. (“NYISO”) filed revisions to its Open Access Transmission Tariff and Market Administration and Control Area Services Tariff in order to implement its hybrid fixed block pricing rule, pursuant to the Commission’s order issued on April 26, 2001 in the above-captioned dockets.  The NYISO has requested an effective date of May 1, 2001 for the filing.</w:t>
      </w:r>
    </w:p>
    <w:p>
      <w:pPr>
        <w:pStyle w:val="Normal"/>
        <w:widowControl/>
        <w:suppressAutoHyphens w:val="true"/>
        <w:rPr/>
      </w:pPr>
      <w:r>
        <w:rPr/>
      </w:r>
    </w:p>
    <w:p>
      <w:pPr>
        <w:pStyle w:val="Normal"/>
        <w:widowControl/>
        <w:suppressAutoHyphens w:val="true"/>
        <w:rPr/>
      </w:pPr>
      <w:r>
        <w:rPr/>
        <w:tab/>
        <w:t>The NYISO has served a copy of this filing upon parties on the official service lists maintained by the Commission for the above-captioned dockets.</w:t>
      </w:r>
    </w:p>
    <w:p>
      <w:pPr>
        <w:pStyle w:val="Normal"/>
        <w:widowControl/>
        <w:suppressAutoHyphens w:val="true"/>
        <w:rPr/>
      </w:pPr>
      <w:r>
        <w:rPr/>
      </w:r>
    </w:p>
    <w:p>
      <w:pPr>
        <w:pStyle w:val="Normal"/>
        <w:widowControl/>
        <w:suppressAutoHyphens w:val="true"/>
        <w:rPr/>
      </w:pPr>
      <w:r>
        <w:rPr/>
        <w:tab/>
        <w:t>Any person desiring to be heard or to protest this filing should file a motion to intervene or protest with the Federal Energy Regulatory Commission, 888 First Street, NE, Washington, DC  20426, in accordance with Rules 211 and 214 of the Commission’s Rules of Practice and Procedure (18 C.F.R. §§ 385.211 and 385-214).  All such motions or protests should be filed on or before __________.  Protests will be considered by the Commission in determining the appropriate action to be taken, but will not serve to make protestants parties to the proceeding.  Any person wishing to become a party must file a motion to intervene.  Copies of this application are on file with the Commission and are available for public inspection.</w:t>
      </w:r>
    </w:p>
    <w:p>
      <w:pPr>
        <w:pStyle w:val="Normal"/>
        <w:widowControl/>
        <w:suppressAutoHyphens w:val="true"/>
        <w:rPr/>
      </w:pPr>
      <w:r>
        <w:rPr/>
      </w:r>
    </w:p>
    <w:p>
      <w:pPr>
        <w:pStyle w:val="Normal"/>
        <w:widowControl/>
        <w:suppressAutoHyphens w:val="true"/>
        <w:rPr/>
      </w:pPr>
      <w:r>
        <w:rPr/>
        <w:tab/>
        <w:tab/>
        <w:tab/>
        <w:tab/>
        <w:tab/>
        <w:tab/>
        <w:t>David P. Boergers</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1426" w:top="1482" w:footer="720" w:bottom="776"/>
          <w:pgNumType w:fmt="decimal"/>
          <w:formProt w:val="false"/>
          <w:titlePg/>
          <w:textDirection w:val="lrTb"/>
          <w:docGrid w:type="default" w:linePitch="360" w:charSpace="0"/>
        </w:sectPr>
        <w:pStyle w:val="Normal"/>
        <w:widowControl/>
        <w:suppressAutoHyphens w:val="true"/>
        <w:rPr/>
      </w:pPr>
      <w:r>
        <w:rPr/>
        <w:tab/>
        <w:tab/>
        <w:tab/>
        <w:tab/>
        <w:tab/>
        <w:tab/>
        <w:t>Secretary</w:t>
      </w:r>
    </w:p>
    <w:p>
      <w:pPr>
        <w:pStyle w:val="Header"/>
        <w:widowControl/>
        <w:jc w:val="center"/>
        <w:rPr>
          <w:b/>
          <w:u w:val="single"/>
        </w:rPr>
      </w:pPr>
      <w:r>
        <w:rPr>
          <w:b/>
          <w:u w:val="single"/>
        </w:rPr>
        <w:t>CERTIFICATE OF SERVICE</w:t>
      </w:r>
    </w:p>
    <w:p>
      <w:pPr>
        <w:pStyle w:val="Header"/>
        <w:widowControl/>
        <w:jc w:val="center"/>
        <w:rPr/>
      </w:pPr>
      <w:r>
        <w:rPr/>
      </w:r>
    </w:p>
    <w:p>
      <w:pPr>
        <w:pStyle w:val="Header"/>
        <w:widowControl/>
        <w:spacing w:lineRule="auto" w:line="480"/>
        <w:ind w:firstLine="720" w:end="0"/>
        <w:rPr/>
      </w:pPr>
      <w:r>
        <w:rPr/>
        <w:t>I hereby certify that I have this day served the foregoing document upon each person designated on the official service list compiled by the Secretary in the above-captioned proceedings in accordance with the requirements of Rule 2010 of the Commission’s Rules of Practice and Procedure, 18 C.F.R. § 2010 (2000).</w:t>
      </w:r>
    </w:p>
    <w:p>
      <w:pPr>
        <w:pStyle w:val="Header"/>
        <w:widowControl/>
        <w:spacing w:lineRule="auto" w:line="480"/>
        <w:ind w:firstLine="720" w:end="0"/>
        <w:rPr/>
      </w:pPr>
      <w:r>
        <w:rPr/>
        <w:t>Dated at Washington, D.C. this 7th day of May, 2001.</w:t>
      </w:r>
    </w:p>
    <w:p>
      <w:pPr>
        <w:pStyle w:val="Header"/>
        <w:widowControl/>
        <w:spacing w:lineRule="auto" w:line="480"/>
        <w:ind w:firstLine="720" w:end="0"/>
        <w:rPr/>
      </w:pPr>
      <w:r>
        <w:rPr/>
      </w:r>
    </w:p>
    <w:p>
      <w:pPr>
        <w:pStyle w:val="Header"/>
        <w:widowControl/>
        <w:ind w:firstLine="720" w:end="0"/>
        <w:rPr/>
      </w:pPr>
      <w:r>
        <w:rPr/>
        <w:tab/>
      </w:r>
    </w:p>
    <w:p>
      <w:pPr>
        <w:pStyle w:val="Header"/>
        <w:widowControl/>
        <w:tabs>
          <w:tab w:val="clear" w:pos="4320"/>
          <w:tab w:val="clear" w:pos="8640"/>
        </w:tabs>
        <w:ind w:firstLine="720" w:end="0"/>
        <w:rPr/>
      </w:pPr>
      <w:r>
        <w:rPr/>
        <w:tab/>
        <w:tab/>
        <w:tab/>
        <w:tab/>
        <w:tab/>
      </w:r>
      <w:r>
        <w:rPr>
          <w:u w:val="single"/>
        </w:rPr>
        <w:tab/>
        <w:tab/>
        <w:tab/>
      </w:r>
    </w:p>
    <w:p>
      <w:pPr>
        <w:pStyle w:val="Header"/>
        <w:widowControl/>
        <w:tabs>
          <w:tab w:val="clear" w:pos="4320"/>
          <w:tab w:val="clear" w:pos="8640"/>
        </w:tabs>
        <w:ind w:firstLine="720" w:end="0"/>
        <w:rPr/>
      </w:pPr>
      <w:r>
        <w:rPr/>
        <w:tab/>
        <w:tab/>
        <w:tab/>
        <w:tab/>
        <w:tab/>
        <w:t>Edwin G. Kichline</w:t>
      </w:r>
    </w:p>
    <w:p>
      <w:pPr>
        <w:pStyle w:val="Header"/>
        <w:widowControl/>
        <w:tabs>
          <w:tab w:val="clear" w:pos="4320"/>
          <w:tab w:val="clear" w:pos="8640"/>
        </w:tabs>
        <w:ind w:firstLine="720" w:end="0"/>
        <w:rPr/>
      </w:pPr>
      <w:r>
        <w:rPr/>
        <w:tab/>
        <w:tab/>
        <w:tab/>
        <w:tab/>
        <w:tab/>
        <w:t>Hunton &amp; Williams</w:t>
      </w:r>
    </w:p>
    <w:p>
      <w:pPr>
        <w:pStyle w:val="Header"/>
        <w:widowControl/>
        <w:tabs>
          <w:tab w:val="clear" w:pos="4320"/>
          <w:tab w:val="clear" w:pos="8640"/>
        </w:tabs>
        <w:ind w:firstLine="720" w:end="0"/>
        <w:rPr/>
      </w:pPr>
      <w:r>
        <w:rPr/>
        <w:tab/>
        <w:tab/>
        <w:tab/>
        <w:tab/>
        <w:tab/>
        <w:t>1900 K Street, N.W.</w:t>
      </w:r>
    </w:p>
    <w:p>
      <w:pPr>
        <w:pStyle w:val="Header"/>
        <w:widowControl/>
        <w:tabs>
          <w:tab w:val="clear" w:pos="4320"/>
          <w:tab w:val="clear" w:pos="8640"/>
        </w:tabs>
        <w:ind w:firstLine="720" w:end="0"/>
        <w:rPr/>
      </w:pPr>
      <w:r>
        <w:rPr/>
        <w:tab/>
        <w:tab/>
        <w:tab/>
        <w:tab/>
        <w:tab/>
        <w:t>Washington, DC 20006-1109</w:t>
      </w:r>
    </w:p>
    <w:p>
      <w:pPr>
        <w:pStyle w:val="Header"/>
        <w:widowControl/>
        <w:tabs>
          <w:tab w:val="clear" w:pos="4320"/>
          <w:tab w:val="clear" w:pos="8640"/>
        </w:tabs>
        <w:ind w:firstLine="720" w:end="0"/>
        <w:rPr/>
      </w:pPr>
      <w:r>
        <w:rPr/>
        <w:tab/>
        <w:tab/>
        <w:tab/>
        <w:tab/>
        <w:tab/>
        <w:t>(202) 955-1595</w:t>
      </w:r>
    </w:p>
    <w:p>
      <w:pPr>
        <w:pStyle w:val="Header"/>
        <w:widowControl/>
        <w:tabs>
          <w:tab w:val="clear" w:pos="4320"/>
          <w:tab w:val="clear" w:pos="8640"/>
        </w:tabs>
        <w:rPr/>
      </w:pPr>
      <w:r>
        <w:rPr/>
      </w:r>
    </w:p>
    <w:p>
      <w:pPr>
        <w:pStyle w:val="Header"/>
        <w:widowControl/>
        <w:tabs>
          <w:tab w:val="clear" w:pos="4320"/>
          <w:tab w:val="clear" w:pos="8640"/>
        </w:tabs>
        <w:rPr/>
      </w:pPr>
      <w:r>
        <w:rPr/>
        <w:tab/>
        <w:tab/>
        <w:tab/>
        <w:tab/>
        <w:tab/>
        <w:tab/>
        <w:tab/>
        <w:tab/>
      </w:r>
    </w:p>
    <w:p>
      <w:pPr>
        <w:pStyle w:val="Header"/>
        <w:widowControl/>
        <w:tabs>
          <w:tab w:val="clear" w:pos="4320"/>
          <w:tab w:val="clear" w:pos="8640"/>
        </w:tabs>
        <w:rPr/>
      </w:pPr>
      <w:r>
        <w:rPr/>
      </w:r>
    </w:p>
    <w:p>
      <w:pPr>
        <w:pStyle w:val="Header"/>
        <w:widowControl/>
        <w:tabs>
          <w:tab w:val="clear" w:pos="4320"/>
          <w:tab w:val="clear" w:pos="8640"/>
        </w:tabs>
        <w:rPr/>
      </w:pPr>
      <w:r>
        <w:rPr/>
        <w:tab/>
        <w:tab/>
        <w:tab/>
        <w:tab/>
        <w:tab/>
        <w:tab/>
        <w:t xml:space="preserve"> </w:t>
        <w:tab/>
        <w:tab/>
      </w:r>
    </w:p>
    <w:p>
      <w:pPr>
        <w:pStyle w:val="Normal"/>
        <w:rPr/>
      </w:pPr>
      <w:r>
        <w:rPr/>
      </w:r>
    </w:p>
    <w:p>
      <w:pPr>
        <w:pStyle w:val="Normal"/>
        <w:widowControl/>
        <w:suppressAutoHyphens w:val="true"/>
        <w:rPr/>
      </w:pPr>
      <w:r>
        <w:rPr/>
      </w:r>
    </w:p>
    <w:p>
      <w:pPr>
        <w:pStyle w:val="Header"/>
        <w:widowControl/>
        <w:tabs>
          <w:tab w:val="clear" w:pos="4320"/>
          <w:tab w:val="clear" w:pos="8640"/>
        </w:tabs>
        <w:spacing w:lineRule="exact" w:line="280"/>
        <w:ind w:start="90" w:end="0"/>
        <w:rPr/>
      </w:pPr>
      <w:r>
        <w:rPr/>
      </w:r>
    </w:p>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1426" w:top="1482"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Futura Lt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p>
    <w:pPr>
      <w:pStyle w:val="Footer"/>
      <w:widowControl/>
      <w:rPr/>
    </w:pPr>
    <w:r>
      <w:rPr/>
    </w:r>
  </w:p>
  <w:p>
    <w:pPr>
      <w:pStyle w:val="Footer"/>
      <w:widowControl/>
      <w:rPr/>
    </w:pPr>
    <w:r>
      <w:rPr/>
    </w:r>
  </w:p>
  <w:p>
    <w:pPr>
      <w:pStyle w:val="Footer"/>
      <w:widowControl/>
      <w:rPr/>
    </w:pPr>
    <w:r>
      <w:rPr/>
    </w:r>
  </w:p>
  <w:p>
    <w:pPr>
      <w:pStyle w:val="Footer"/>
      <w:widowContro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p>
    <w:pPr>
      <w:pStyle w:val="Footer"/>
      <w:widowControl/>
      <w:rPr/>
    </w:pPr>
    <w:r>
      <w:rPr/>
    </w:r>
  </w:p>
  <w:p>
    <w:pPr>
      <w:pStyle w:val="Footer"/>
      <w:widowControl/>
      <w:rPr/>
    </w:pPr>
    <w:r>
      <w:rPr/>
    </w:r>
  </w:p>
  <w:p>
    <w:pPr>
      <w:pStyle w:val="Footer"/>
      <w:widowControl/>
      <w:rPr/>
    </w:pPr>
    <w:r>
      <w:rPr/>
    </w:r>
  </w:p>
  <w:p>
    <w:pPr>
      <w:pStyle w:val="Footer"/>
      <w:widowContro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p>
    <w:pPr>
      <w:pStyle w:val="Footer"/>
      <w:widowControl/>
      <w:rPr/>
    </w:pPr>
    <w:r>
      <w:rPr/>
    </w:r>
  </w:p>
  <w:p>
    <w:pPr>
      <w:pStyle w:val="Footer"/>
      <w:widowControl/>
      <w:rPr/>
    </w:pPr>
    <w:r>
      <w:rPr/>
    </w:r>
  </w:p>
  <w:p>
    <w:pPr>
      <w:pStyle w:val="Footer"/>
      <w:widowControl/>
      <w:rPr/>
    </w:pPr>
    <w:r>
      <w:rPr/>
    </w:r>
  </w:p>
  <w:p>
    <w:pPr>
      <w:pStyle w:val="Footer"/>
      <w:widowContro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pPr>
      <w:r>
        <w:rPr>
          <w:rStyle w:val="FootnoteCharacters"/>
        </w:rPr>
        <w:footnoteRef/>
      </w:r>
      <w:r>
        <w:rPr/>
        <w:t xml:space="preserve"> </w:t>
      </w:r>
      <w:r>
        <w:rPr>
          <w:i/>
          <w:sz w:val="24"/>
        </w:rPr>
        <w:t>New York Independent System Operator, Inc., et al.</w:t>
      </w:r>
      <w:r>
        <w:rPr>
          <w:sz w:val="24"/>
        </w:rPr>
        <w:t>, 95 FERC ¶ 61,121 (2001).</w:t>
      </w:r>
    </w:p>
  </w:footnote>
  <w:footnote w:id="3">
    <w:p>
      <w:pPr>
        <w:pStyle w:val="FootnoteText"/>
        <w:widowControl/>
        <w:rPr/>
      </w:pPr>
      <w:r>
        <w:rPr>
          <w:rStyle w:val="FootnoteCharacters"/>
        </w:rPr>
        <w:footnoteRef/>
      </w:r>
      <w:r>
        <w:rPr/>
        <w:t xml:space="preserve"> </w:t>
      </w:r>
      <w:r>
        <w:rPr>
          <w:i/>
          <w:sz w:val="24"/>
        </w:rPr>
        <w:t>Id.</w:t>
      </w:r>
      <w:r>
        <w:rPr>
          <w:sz w:val="24"/>
        </w:rPr>
        <w:t>, slip op. at 5.</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enter" w:pos="4320" w:leader="none"/>
        <w:tab w:val="left" w:pos="6390" w:leader="none"/>
        <w:tab w:val="left" w:pos="7020" w:leader="none"/>
        <w:tab w:val="right" w:pos="8640" w:leader="none"/>
      </w:tabs>
      <w:spacing w:lineRule="exact" w:line="200"/>
      <w:rPr>
        <w:sz w:val="15"/>
      </w:rPr>
    </w:pPr>
    <w:r>
      <w:rPr>
        <w:sz w:val="15"/>
      </w:rPr>
    </w:r>
  </w:p>
  <w:p>
    <w:pPr>
      <w:pStyle w:val="Header"/>
      <w:widowControl/>
      <w:tabs>
        <w:tab w:val="center" w:pos="4320" w:leader="none"/>
        <w:tab w:val="left" w:pos="6390" w:leader="none"/>
        <w:tab w:val="left" w:pos="7020" w:leader="none"/>
        <w:tab w:val="right" w:pos="8640" w:leader="none"/>
      </w:tabs>
      <w:spacing w:lineRule="exact" w:line="200"/>
      <w:ind w:start="90" w:end="0"/>
      <w:rPr>
        <w:sz w:val="15"/>
      </w:rPr>
    </w:pPr>
    <w:r>
      <w:rPr>
        <w:sz w:val="15"/>
      </w:rPr>
    </w:r>
  </w:p>
  <w:p>
    <w:pPr>
      <w:pStyle w:val="Header"/>
      <w:widowControl/>
      <w:tabs>
        <w:tab w:val="center" w:pos="4320" w:leader="none"/>
        <w:tab w:val="left" w:pos="6390" w:leader="none"/>
        <w:tab w:val="left" w:pos="7020" w:leader="none"/>
        <w:tab w:val="right" w:pos="8640" w:leader="none"/>
      </w:tabs>
      <w:spacing w:lineRule="exact" w:line="200"/>
      <w:ind w:start="90" w:end="0"/>
      <w:rPr>
        <w:sz w:val="15"/>
      </w:rPr>
    </w:pPr>
    <w:r>
      <w:rPr>
        <w:sz w:val="15"/>
      </w:rPr>
    </w:r>
  </w:p>
  <w:p>
    <w:pPr>
      <w:pStyle w:val="Header"/>
      <w:widowControl/>
      <w:tabs>
        <w:tab w:val="center" w:pos="4320" w:leader="none"/>
        <w:tab w:val="left" w:pos="6390" w:leader="none"/>
        <w:tab w:val="left" w:pos="7020" w:leader="none"/>
        <w:tab w:val="right" w:pos="8640" w:leader="none"/>
      </w:tabs>
      <w:spacing w:lineRule="exact" w:line="200"/>
      <w:rPr>
        <w:sz w:val="15"/>
      </w:rPr>
    </w:pPr>
    <w:r>
      <w:rPr/>
      <w:t>The Honorable David P. Boergers, Secretary</w:t>
    </w:r>
  </w:p>
  <w:p>
    <w:pPr>
      <w:pStyle w:val="Header"/>
      <w:widowControl/>
      <w:tabs>
        <w:tab w:val="center" w:pos="4320" w:leader="none"/>
        <w:tab w:val="left" w:pos="6390" w:leader="none"/>
        <w:tab w:val="left" w:pos="7020" w:leader="none"/>
        <w:tab w:val="right" w:pos="8640" w:leader="none"/>
      </w:tabs>
      <w:spacing w:lineRule="exact" w:line="240"/>
      <w:ind w:end="144"/>
      <w:rPr/>
    </w:pPr>
    <w:r>
      <w:rPr>
        <w:rStyle w:val="PageNumber"/>
        <w:sz w:val="24"/>
      </w:rPr>
      <w:t>May 7, 2001</w:t>
    </w:r>
  </w:p>
  <w:p>
    <w:pPr>
      <w:pStyle w:val="Header"/>
      <w:widowControl/>
      <w:tabs>
        <w:tab w:val="center" w:pos="4320" w:leader="none"/>
        <w:tab w:val="left" w:pos="6390" w:leader="none"/>
        <w:tab w:val="left" w:pos="7020" w:leader="none"/>
        <w:tab w:val="right" w:pos="8640" w:leader="none"/>
      </w:tabs>
      <w:spacing w:lineRule="exact" w:line="240"/>
      <w:ind w:end="144"/>
      <w:rPr>
        <w:sz w:val="15"/>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p>
    <w:pPr>
      <w:pStyle w:val="Header"/>
      <w:widowControl/>
      <w:tabs>
        <w:tab w:val="center" w:pos="4320" w:leader="none"/>
        <w:tab w:val="left" w:pos="6390" w:leader="none"/>
        <w:tab w:val="left" w:pos="7020" w:leader="none"/>
        <w:tab w:val="right" w:pos="8640" w:leader="none"/>
      </w:tabs>
      <w:spacing w:lineRule="exact" w:line="200"/>
      <w:rPr>
        <w:spacing w:val="20"/>
        <w:sz w:val="15"/>
      </w:rPr>
    </w:pPr>
    <w:r>
      <w:rPr>
        <w:spacing w:val="20"/>
        <w:sz w:val="15"/>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enter" w:pos="4320" w:leader="none"/>
        <w:tab w:val="left" w:pos="6390" w:leader="none"/>
        <w:tab w:val="left" w:pos="7020" w:leader="none"/>
        <w:tab w:val="right" w:pos="8640" w:leader="none"/>
      </w:tabs>
      <w:spacing w:lineRule="exact" w:line="200"/>
      <w:rPr>
        <w:sz w:val="15"/>
      </w:rPr>
    </w:pPr>
    <w:r>
      <w:rPr>
        <w:sz w:val="15"/>
      </w:rPr>
    </w:r>
  </w:p>
  <w:p>
    <w:pPr>
      <w:pStyle w:val="Header"/>
      <w:widowControl/>
      <w:tabs>
        <w:tab w:val="center" w:pos="4320" w:leader="none"/>
        <w:tab w:val="left" w:pos="6390" w:leader="none"/>
        <w:tab w:val="left" w:pos="7020" w:leader="none"/>
        <w:tab w:val="right" w:pos="8640" w:leader="none"/>
      </w:tabs>
      <w:spacing w:lineRule="exact" w:line="200"/>
      <w:ind w:start="90" w:end="0"/>
      <w:rPr>
        <w:sz w:val="15"/>
      </w:rPr>
    </w:pPr>
    <w:r>
      <w:rPr>
        <w:sz w:val="15"/>
      </w:rPr>
    </w:r>
  </w:p>
  <w:p>
    <w:pPr>
      <w:pStyle w:val="Header"/>
      <w:widowControl/>
      <w:tabs>
        <w:tab w:val="center" w:pos="4320" w:leader="none"/>
        <w:tab w:val="left" w:pos="6390" w:leader="none"/>
        <w:tab w:val="left" w:pos="7020" w:leader="none"/>
        <w:tab w:val="right" w:pos="8640" w:leader="none"/>
      </w:tabs>
      <w:spacing w:lineRule="exact" w:line="200"/>
      <w:ind w:start="90" w:end="0"/>
      <w:rPr>
        <w:sz w:val="15"/>
      </w:rPr>
    </w:pPr>
    <w:r>
      <w:rPr>
        <w:sz w:val="15"/>
      </w:rPr>
    </w:r>
  </w:p>
  <w:p>
    <w:pPr>
      <w:pStyle w:val="Header"/>
      <w:widowControl/>
      <w:tabs>
        <w:tab w:val="center" w:pos="4320" w:leader="none"/>
        <w:tab w:val="left" w:pos="6390" w:leader="none"/>
        <w:tab w:val="left" w:pos="7020" w:leader="none"/>
        <w:tab w:val="right" w:pos="8640" w:leader="none"/>
      </w:tabs>
      <w:spacing w:lineRule="exact" w:line="200"/>
      <w:rPr/>
    </w:pPr>
    <w:r>
      <w:rPr/>
      <w:t>The Honorable David P. Boergers, Secretary</w:t>
    </w:r>
  </w:p>
  <w:p>
    <w:pPr>
      <w:pStyle w:val="Header"/>
      <w:widowControl/>
      <w:tabs>
        <w:tab w:val="center" w:pos="4320" w:leader="none"/>
        <w:tab w:val="left" w:pos="6390" w:leader="none"/>
        <w:tab w:val="left" w:pos="7020" w:leader="none"/>
        <w:tab w:val="right" w:pos="8640" w:leader="none"/>
      </w:tabs>
      <w:spacing w:lineRule="exact" w:line="240"/>
      <w:ind w:end="144"/>
      <w:rPr/>
    </w:pPr>
    <w:r>
      <w:rPr>
        <w:rStyle w:val="PageNumber"/>
        <w:sz w:val="24"/>
      </w:rPr>
      <w:t>May 7, 2001</w:t>
    </w:r>
  </w:p>
  <w:p>
    <w:pPr>
      <w:pStyle w:val="Header"/>
      <w:widowControl/>
      <w:tabs>
        <w:tab w:val="center" w:pos="4320" w:leader="none"/>
        <w:tab w:val="left" w:pos="6390" w:leader="none"/>
        <w:tab w:val="left" w:pos="7020" w:leader="none"/>
        <w:tab w:val="right" w:pos="8640" w:leader="none"/>
      </w:tabs>
      <w:spacing w:lineRule="exact" w:line="240"/>
      <w:ind w:end="144"/>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p>
    <w:pPr>
      <w:pStyle w:val="Header"/>
      <w:widowControl/>
      <w:tabs>
        <w:tab w:val="center" w:pos="4320" w:leader="none"/>
        <w:tab w:val="left" w:pos="6390" w:leader="none"/>
        <w:tab w:val="left" w:pos="7020" w:leader="none"/>
        <w:tab w:val="right" w:pos="8640" w:leader="none"/>
      </w:tabs>
      <w:spacing w:lineRule="exact" w:line="200"/>
      <w:rPr>
        <w:spacing w:val="20"/>
        <w:sz w:val="15"/>
      </w:rPr>
    </w:pPr>
    <w:r>
      <w:rPr>
        <w:spacing w:val="20"/>
        <w:sz w:val="15"/>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enter" w:pos="4320" w:leader="none"/>
        <w:tab w:val="left" w:pos="6390" w:leader="none"/>
        <w:tab w:val="left" w:pos="7020" w:leader="none"/>
        <w:tab w:val="right" w:pos="8640" w:leader="none"/>
      </w:tabs>
      <w:spacing w:lineRule="exact" w:line="200"/>
      <w:rPr>
        <w:sz w:val="15"/>
      </w:rPr>
    </w:pPr>
    <w:r>
      <w:rPr>
        <w:sz w:val="15"/>
      </w:rPr>
    </w:r>
  </w:p>
  <w:p>
    <w:pPr>
      <w:pStyle w:val="Header"/>
      <w:widowControl/>
      <w:tabs>
        <w:tab w:val="center" w:pos="4320" w:leader="none"/>
        <w:tab w:val="left" w:pos="6390" w:leader="none"/>
        <w:tab w:val="left" w:pos="7020" w:leader="none"/>
        <w:tab w:val="right" w:pos="8640" w:leader="none"/>
      </w:tabs>
      <w:spacing w:lineRule="exact" w:line="200"/>
      <w:ind w:start="90" w:end="0"/>
      <w:rPr>
        <w:sz w:val="15"/>
      </w:rPr>
    </w:pPr>
    <w:r>
      <w:rPr>
        <w:sz w:val="15"/>
      </w:rPr>
    </w:r>
  </w:p>
  <w:p>
    <w:pPr>
      <w:pStyle w:val="Header"/>
      <w:widowControl/>
      <w:tabs>
        <w:tab w:val="center" w:pos="4320" w:leader="none"/>
        <w:tab w:val="left" w:pos="6390" w:leader="none"/>
        <w:tab w:val="left" w:pos="7020" w:leader="none"/>
        <w:tab w:val="right" w:pos="8640" w:leader="none"/>
      </w:tabs>
      <w:spacing w:lineRule="exact" w:line="200"/>
      <w:ind w:start="90" w:end="0"/>
      <w:rPr>
        <w:sz w:val="15"/>
      </w:rPr>
    </w:pPr>
    <w:r>
      <w:rPr>
        <w:sz w:val="15"/>
      </w:rPr>
    </w:r>
  </w:p>
  <w:p>
    <w:pPr>
      <w:pStyle w:val="Header"/>
      <w:widowControl/>
      <w:tabs>
        <w:tab w:val="center" w:pos="4320" w:leader="none"/>
        <w:tab w:val="left" w:pos="6390" w:leader="none"/>
        <w:tab w:val="left" w:pos="7020" w:leader="none"/>
        <w:tab w:val="right" w:pos="8640" w:leader="none"/>
      </w:tabs>
      <w:spacing w:lineRule="exact" w:line="200"/>
      <w:rPr/>
    </w:pPr>
    <w:r>
      <w:rPr/>
      <w:t>The Honorable David P. Boergers, Secretary</w:t>
    </w:r>
  </w:p>
  <w:p>
    <w:pPr>
      <w:pStyle w:val="Header"/>
      <w:widowControl/>
      <w:tabs>
        <w:tab w:val="center" w:pos="4320" w:leader="none"/>
        <w:tab w:val="left" w:pos="6390" w:leader="none"/>
        <w:tab w:val="left" w:pos="7020" w:leader="none"/>
        <w:tab w:val="right" w:pos="8640" w:leader="none"/>
      </w:tabs>
      <w:spacing w:lineRule="exact" w:line="240"/>
      <w:ind w:end="144"/>
      <w:rPr/>
    </w:pPr>
    <w:r>
      <w:rPr>
        <w:rStyle w:val="PageNumber"/>
        <w:sz w:val="24"/>
      </w:rPr>
      <w:t>May 7, 2001</w:t>
    </w:r>
  </w:p>
  <w:p>
    <w:pPr>
      <w:pStyle w:val="Header"/>
      <w:widowControl/>
      <w:tabs>
        <w:tab w:val="center" w:pos="4320" w:leader="none"/>
        <w:tab w:val="left" w:pos="6390" w:leader="none"/>
        <w:tab w:val="left" w:pos="7020" w:leader="none"/>
        <w:tab w:val="right" w:pos="8640" w:leader="none"/>
      </w:tabs>
      <w:spacing w:lineRule="exact" w:line="240"/>
      <w:ind w:end="144"/>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p>
    <w:pPr>
      <w:pStyle w:val="Header"/>
      <w:widowControl/>
      <w:tabs>
        <w:tab w:val="center" w:pos="4320" w:leader="none"/>
        <w:tab w:val="left" w:pos="6390" w:leader="none"/>
        <w:tab w:val="left" w:pos="7020" w:leader="none"/>
        <w:tab w:val="right" w:pos="8640" w:leader="none"/>
      </w:tabs>
      <w:spacing w:lineRule="exact" w:line="200"/>
      <w:rPr>
        <w:spacing w:val="20"/>
        <w:sz w:val="15"/>
      </w:rPr>
    </w:pPr>
    <w:r>
      <w:rPr>
        <w:spacing w:val="20"/>
        <w:sz w:val="15"/>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character" w:styleId="Hyperlink">
    <w:name w:val="Hyperlink"/>
    <w:basedOn w:val="DefaultParagraphFont"/>
    <w:rPr>
      <w:color w:val="0000FF"/>
      <w:sz w:val="20"/>
      <w:u w:val="single"/>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esponses">
    <w:name w:val="Responses"/>
    <w:basedOn w:val="Normal"/>
    <w:qFormat/>
    <w:pPr>
      <w:tabs>
        <w:tab w:val="left" w:pos="720" w:leader="none"/>
      </w:tabs>
      <w:spacing w:before="0" w:after="240"/>
      <w:ind w:hanging="360" w:start="720" w:end="0"/>
    </w:pPr>
    <w:rPr>
      <w:rFonts w:ascii="Futura Lt BT" w:hAnsi="Futura Lt BT" w:cs="Futura Lt BT"/>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Left">
    <w:name w:val="Header Left"/>
    <w:basedOn w:val="Header"/>
    <w:qFormat/>
    <w:pPr>
      <w:suppressLineNumbers/>
      <w:tabs>
        <w:tab w:val="clear" w:pos="4320"/>
        <w:tab w:val="clear" w:pos="8640"/>
        <w:tab w:val="center" w:pos="4637" w:leader="none"/>
        <w:tab w:val="right" w:pos="9274"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H&amp;W Standard Letter.dot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2001-05-07T16:48:00Z</dcterms:created>
  <dc:creator>08518</dc:creator>
  <dc:description/>
  <dc:language>en-CA</dc:language>
  <cp:lastModifiedBy>95 Workstation</cp:lastModifiedBy>
  <cp:lastPrinted>2001-04-13T08:02:00Z</cp:lastPrinted>
  <dcterms:modified xsi:type="dcterms:W3CDTF">2001-05-07T17:34:00Z</dcterms:modified>
  <cp:revision>4</cp:revision>
  <dc:subject/>
  <dc:title>Filing letter for fixed block unit compliance filing</dc:title>
</cp:coreProperties>
</file>