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File</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December 19, 2000</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Proposed Changes to EnronOnline Electronic Trading Agreement</w:t>
            </w:r>
          </w:p>
        </w:tc>
      </w:tr>
    </w:tbl>
    <w:p>
      <w:pPr>
        <w:pStyle w:val="Normal"/>
        <w:pBdr>
          <w:bottom w:val="double" w:sz="12" w:space="1" w:color="000000"/>
        </w:pBdr>
        <w:rPr>
          <w:sz w:val="12"/>
        </w:rPr>
      </w:pPr>
      <w:r>
        <w:rPr>
          <w:sz w:val="12"/>
        </w:rPr>
      </w:r>
    </w:p>
    <w:p>
      <w:pPr>
        <w:pStyle w:val="Normal"/>
        <w:ind w:end="-1710"/>
        <w:rPr/>
      </w:pPr>
      <w:r>
        <w:rPr/>
        <w:tab/>
      </w:r>
    </w:p>
    <w:p>
      <w:pPr>
        <w:pStyle w:val="Normal"/>
        <w:numPr>
          <w:ilvl w:val="0"/>
          <w:numId w:val="2"/>
        </w:numPr>
        <w:tabs>
          <w:tab w:val="left" w:pos="720" w:leader="none"/>
        </w:tabs>
        <w:ind w:hanging="720" w:start="720" w:end="0"/>
        <w:jc w:val="both"/>
        <w:rPr/>
      </w:pPr>
      <w:r>
        <w:rPr/>
        <w:t>As a general matter, when and if the ETA or any GTC posted on EnronOnline is amended, I understand that the counterparty will be required to accept the new ETA or GTC before such agreement is enforceable against the counterparty.  My recommendation is that ONLY master users can accept a new ETA (and preferably a revised GTC as well), since a trader may not have the authority to bind his/her company to a contract.  Dynegy has asked that we expressly agree that a revised ETA can only be accepted by a master user, and Dave Forster is currently considering this issue.</w:t>
      </w:r>
    </w:p>
    <w:p>
      <w:pPr>
        <w:pStyle w:val="Normal"/>
        <w:jc w:val="both"/>
        <w:rPr/>
      </w:pPr>
      <w:r>
        <w:rPr/>
      </w:r>
    </w:p>
    <w:p>
      <w:pPr>
        <w:pStyle w:val="Normal"/>
        <w:numPr>
          <w:ilvl w:val="0"/>
          <w:numId w:val="2"/>
        </w:numPr>
        <w:tabs>
          <w:tab w:val="left" w:pos="720" w:leader="none"/>
        </w:tabs>
        <w:ind w:hanging="720" w:start="720" w:end="0"/>
        <w:jc w:val="both"/>
        <w:rPr/>
      </w:pPr>
      <w:r>
        <w:rPr/>
        <w:t>Revise Section 1(iii) to clarify that the other terms and conditions referenced therein includes the Legal and Privacy terms:  “other terms and conditions specified or referred to on the Website from time to time, including, but not limited to, the Legal and Privacy statement)”.</w:t>
      </w:r>
    </w:p>
    <w:p>
      <w:pPr>
        <w:pStyle w:val="Normal"/>
        <w:ind w:start="360" w:end="-1710"/>
        <w:jc w:val="both"/>
        <w:rPr/>
      </w:pPr>
      <w:r>
        <w:rPr/>
      </w:r>
    </w:p>
    <w:p>
      <w:pPr>
        <w:pStyle w:val="Normal"/>
        <w:numPr>
          <w:ilvl w:val="0"/>
          <w:numId w:val="2"/>
        </w:numPr>
        <w:tabs>
          <w:tab w:val="left" w:pos="720" w:leader="none"/>
        </w:tabs>
        <w:ind w:hanging="720" w:start="720" w:end="0"/>
        <w:jc w:val="both"/>
        <w:rPr/>
      </w:pPr>
      <w:r>
        <w:rPr/>
        <w:t>Consider adding the following as Section 3(f) or to the end of Section 3(e):  “If the terms of a written and mutually executed master agreement include confirmation procedures different from those set forth herein, the terms of the master agreement shall govern the Transactions subject thereto but in no event shall the confirmation procedure of the master agreement or failure to comply with the confirmation process of the master agreement impair the validity or enforceability of the Transaction.”</w:t>
      </w:r>
    </w:p>
    <w:p>
      <w:pPr>
        <w:pStyle w:val="Normal"/>
        <w:jc w:val="both"/>
        <w:rPr/>
      </w:pPr>
      <w:r>
        <w:rPr/>
      </w:r>
    </w:p>
    <w:p>
      <w:pPr>
        <w:pStyle w:val="Normal"/>
        <w:numPr>
          <w:ilvl w:val="0"/>
          <w:numId w:val="2"/>
        </w:numPr>
        <w:tabs>
          <w:tab w:val="left" w:pos="720" w:leader="none"/>
        </w:tabs>
        <w:ind w:hanging="720" w:start="720" w:end="0"/>
        <w:jc w:val="both"/>
        <w:rPr/>
      </w:pPr>
      <w:r>
        <w:rPr/>
        <w:t>Revise the second sentence of Section 4(a) to provide that no event will Enron be liable for any direct, special, indirect, etc. damages and to add the phrase “OR LINKS” to the next to the last line of that sentence after the phrase “OR RELYING ON THE WEBSITE OR ANY INFORMATION”.</w:t>
      </w:r>
    </w:p>
    <w:p>
      <w:pPr>
        <w:pStyle w:val="Normal"/>
        <w:jc w:val="both"/>
        <w:rPr/>
      </w:pPr>
      <w:r>
        <w:rPr/>
      </w:r>
    </w:p>
    <w:p>
      <w:pPr>
        <w:pStyle w:val="Normal"/>
        <w:numPr>
          <w:ilvl w:val="0"/>
          <w:numId w:val="2"/>
        </w:numPr>
        <w:tabs>
          <w:tab w:val="left" w:pos="720" w:leader="none"/>
        </w:tabs>
        <w:ind w:hanging="720" w:start="720" w:end="0"/>
        <w:jc w:val="both"/>
        <w:rPr/>
      </w:pPr>
      <w:r>
        <w:rPr/>
        <w:t>In addition to (2) above, consider adding the following express limitation of liability to the end of Section 4(a):  “In no event shall Enron’s total liability to you for all damages, losses and causes of action (whether in contract or tort, including but not limited to, negligence) exceed the amount paid by you to Enron, if any, for accessing the Website.”</w:t>
      </w:r>
    </w:p>
    <w:p>
      <w:pPr>
        <w:pStyle w:val="Normal"/>
        <w:jc w:val="both"/>
        <w:rPr/>
      </w:pPr>
      <w:r>
        <w:rPr/>
      </w:r>
    </w:p>
    <w:p>
      <w:pPr>
        <w:pStyle w:val="Normal"/>
        <w:numPr>
          <w:ilvl w:val="0"/>
          <w:numId w:val="2"/>
        </w:numPr>
        <w:tabs>
          <w:tab w:val="left" w:pos="720" w:leader="none"/>
        </w:tabs>
        <w:ind w:hanging="720" w:start="720" w:end="0"/>
        <w:jc w:val="both"/>
        <w:rPr/>
      </w:pPr>
      <w:r>
        <w:rPr/>
        <w:t>Consider amending Section 4(b)(ii) of the ETA by deleting the words “and/or” and inserting the following at the end of such subsection [to address a concern raised by many counterparties]: “except where either (x) any such person gained access to the Website as a result of Enron’s gross negligence or willful misconduct.”</w:t>
      </w:r>
    </w:p>
    <w:p>
      <w:pPr>
        <w:pStyle w:val="Normal"/>
        <w:numPr>
          <w:ilvl w:val="0"/>
          <w:numId w:val="2"/>
        </w:numPr>
        <w:tabs>
          <w:tab w:val="left" w:pos="720" w:leader="none"/>
        </w:tabs>
        <w:ind w:hanging="720" w:start="720" w:end="0"/>
        <w:jc w:val="both"/>
        <w:rPr/>
      </w:pPr>
      <w:r>
        <w:rPr/>
        <w:t>Consider adding the following provision as a new Section 4(c) [Note:  This issue has been raised by many counterparties with concerns about the ETA.]:  “The limitation of liability and indemnities provided in this Section 4 are not intended to extend to liabilities of Enron or claims against the Enron entity that is the party to a Transaction resulting from the terms of a Transaction executed via the Website, but instead the liabilities and indemnification obligations of each of Counterparty and the Enron entity that is a party to the relevant Transaction shall be as provided in the master agreement or GTC governing such Transaction.”</w:t>
      </w:r>
    </w:p>
    <w:p>
      <w:pPr>
        <w:pStyle w:val="Normal"/>
        <w:jc w:val="both"/>
        <w:rPr/>
      </w:pPr>
      <w:r>
        <w:rPr/>
      </w:r>
    </w:p>
    <w:p>
      <w:pPr>
        <w:pStyle w:val="Normal"/>
        <w:numPr>
          <w:ilvl w:val="0"/>
          <w:numId w:val="2"/>
        </w:numPr>
        <w:tabs>
          <w:tab w:val="left" w:pos="720" w:leader="none"/>
        </w:tabs>
        <w:ind w:hanging="720" w:start="720" w:end="0"/>
        <w:jc w:val="both"/>
        <w:rPr/>
      </w:pPr>
      <w:r>
        <w:rPr/>
        <w:t>Consider adding a two (2) year time limit to the confidentiality obligation in Section 5.  Since the counterparty should receive very little, if any, confidential information about Enron as a result of the use of EOL while Enron is likely to obtain confidential information about counterparty as a result of its use of the site, it is probably a good idea to limit this confidentiality obligation.</w:t>
      </w:r>
    </w:p>
    <w:p>
      <w:pPr>
        <w:pStyle w:val="Normal"/>
        <w:jc w:val="both"/>
        <w:rPr/>
      </w:pPr>
      <w:r>
        <w:rPr/>
      </w:r>
    </w:p>
    <w:p>
      <w:pPr>
        <w:pStyle w:val="Normal"/>
        <w:numPr>
          <w:ilvl w:val="0"/>
          <w:numId w:val="2"/>
        </w:numPr>
        <w:tabs>
          <w:tab w:val="left" w:pos="720" w:leader="none"/>
        </w:tabs>
        <w:ind w:hanging="720" w:start="720" w:end="0"/>
        <w:jc w:val="both"/>
        <w:rPr/>
      </w:pPr>
      <w:r>
        <w:rPr/>
        <w:t>Revise Section 5(b)(iii) as follows:  “to any consultant, bankers, financiers or legal advisors to the receiving party who have been advised of the terms of this Agreement and have agreed to maintain the confidentiality of the Confidential Information in accordance herewith.”</w:t>
      </w:r>
    </w:p>
    <w:p>
      <w:pPr>
        <w:pStyle w:val="Normal"/>
        <w:jc w:val="both"/>
        <w:rPr/>
      </w:pPr>
      <w:r>
        <w:rPr/>
      </w:r>
    </w:p>
    <w:p>
      <w:pPr>
        <w:pStyle w:val="Normal"/>
        <w:numPr>
          <w:ilvl w:val="0"/>
          <w:numId w:val="2"/>
        </w:numPr>
        <w:tabs>
          <w:tab w:val="left" w:pos="720" w:leader="none"/>
        </w:tabs>
        <w:ind w:hanging="720" w:start="720" w:end="0"/>
        <w:jc w:val="both"/>
        <w:rPr/>
      </w:pPr>
      <w:r>
        <w:rPr/>
        <w:t>Revise Section 5(c) as follows:  “Before a party discloses any Confidential Information in any of the circumstances described in clause 5(b)(ii), it shall notify the other party of its intention to make such disclosure.”  Delete the rest of the sentence.</w:t>
      </w:r>
    </w:p>
    <w:p>
      <w:pPr>
        <w:pStyle w:val="Normal"/>
        <w:jc w:val="both"/>
        <w:rPr/>
      </w:pPr>
      <w:r>
        <w:rPr/>
      </w:r>
    </w:p>
    <w:p>
      <w:pPr>
        <w:pStyle w:val="Normal"/>
        <w:numPr>
          <w:ilvl w:val="0"/>
          <w:numId w:val="2"/>
        </w:numPr>
        <w:tabs>
          <w:tab w:val="left" w:pos="720" w:leader="none"/>
        </w:tabs>
        <w:ind w:hanging="720" w:start="720" w:end="0"/>
        <w:jc w:val="both"/>
        <w:rPr/>
      </w:pPr>
      <w:r>
        <w:rPr/>
        <w:t>Consider adding the following provision [which was taken from the DynegyDirect ETA] to the end of Section 5(b):  “Confidential Information shall also exclude any biographical, transactional, or other type of information provided by Counterparty to Enron which Enron publishes in a statistical format or other such format such that it does not designate the owner or source of such information and therefore the information itself retains its confidential nature.”</w:t>
      </w:r>
    </w:p>
    <w:p>
      <w:pPr>
        <w:pStyle w:val="Normal"/>
        <w:jc w:val="both"/>
        <w:rPr/>
      </w:pPr>
      <w:r>
        <w:rPr/>
      </w:r>
    </w:p>
    <w:p>
      <w:pPr>
        <w:pStyle w:val="Normal"/>
        <w:numPr>
          <w:ilvl w:val="0"/>
          <w:numId w:val="2"/>
        </w:numPr>
        <w:tabs>
          <w:tab w:val="left" w:pos="720" w:leader="none"/>
        </w:tabs>
        <w:ind w:hanging="720" w:start="720" w:end="0"/>
        <w:jc w:val="both"/>
        <w:rPr/>
      </w:pPr>
      <w:r>
        <w:rPr/>
        <w:t>Consider adding the following provision [from DynegyDirect terms of use/I’m not sure that we should include but worth considering]:  “With respect to all content posted by Counterparty to all publicly accessible areas of the Website (the “Content”), Counterparty grants Enron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Enron acknowledges and agrees that Counterparty shall remain the owner of such Content and that Enron shall have no further license or right with regard to such Content.”</w:t>
      </w:r>
    </w:p>
    <w:p>
      <w:pPr>
        <w:pStyle w:val="Normal"/>
        <w:ind w:firstLine="720" w:start="4320" w:end="0"/>
        <w:rPr/>
      </w:pPr>
      <w:r>
        <w:rPr/>
        <w:t>LMH</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/mnt/main-storage/datasets/enron-docs/doc/File_re_EOL_ETA_Amendment-1c370c1ea9b55864021d808fc62cc88c0ba3b87385dd6f29332aaeb993f6cbe3.doc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2000-12-19T17:22:00Z</dcterms:created>
  <dc:creator>ECT</dc:creator>
  <dc:description/>
  <dc:language>en-CA</dc:language>
  <cp:lastModifiedBy>leslie hansen</cp:lastModifiedBy>
  <cp:lastPrinted>2001-01-17T11:16:00Z</cp:lastPrinted>
  <dcterms:modified xsi:type="dcterms:W3CDTF">2001-01-17T14:47:00Z</dcterms:modified>
  <cp:revision>12</cp:revision>
  <dc:subject/>
  <dc:title>New Logo Form Memo</dc:title>
</cp:coreProperties>
</file>