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EOL Content Team</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December 19, 2000</w:t>
            </w:r>
          </w:p>
        </w:tc>
      </w:tr>
      <w:tr>
        <w:trPr/>
        <w:tc>
          <w:tcPr>
            <w:tcW w:w="1908" w:type="dxa"/>
            <w:tcBorders/>
          </w:tcPr>
          <w:p>
            <w:pPr>
              <w:pStyle w:val="Normal"/>
              <w:spacing w:before="0" w:after="120"/>
              <w:jc w:val="both"/>
              <w:rPr>
                <w:b/>
              </w:rPr>
            </w:pPr>
            <w:r>
              <w:rPr>
                <w:b/>
              </w:rPr>
              <w:t>CC:</w:t>
            </w:r>
          </w:p>
        </w:tc>
        <w:tc>
          <w:tcPr>
            <w:tcW w:w="2880" w:type="dxa"/>
            <w:tcBorders/>
          </w:tcPr>
          <w:p>
            <w:pPr>
              <w:pStyle w:val="Normal"/>
              <w:jc w:val="both"/>
              <w:rPr/>
            </w:pPr>
            <w:r>
              <w:rPr/>
              <w:t>Mark Greenberg</w:t>
            </w:r>
          </w:p>
          <w:p>
            <w:pPr>
              <w:pStyle w:val="Normal"/>
              <w:jc w:val="both"/>
              <w:rPr/>
            </w:pPr>
            <w:r>
              <w:rPr/>
              <w:t>Mark Taylor</w:t>
            </w:r>
          </w:p>
        </w:tc>
        <w:tc>
          <w:tcPr>
            <w:tcW w:w="2070" w:type="dxa"/>
            <w:tcBorders/>
          </w:tcPr>
          <w:p>
            <w:pPr>
              <w:pStyle w:val="Normal"/>
              <w:snapToGrid w:val="false"/>
              <w:spacing w:before="0" w:after="120"/>
              <w:jc w:val="both"/>
              <w:rPr>
                <w:b/>
              </w:rPr>
            </w:pPr>
            <w:r>
              <w:rPr>
                <w:b/>
              </w:rPr>
            </w:r>
          </w:p>
        </w:tc>
        <w:tc>
          <w:tcPr>
            <w:tcW w:w="2430" w:type="dxa"/>
            <w:tcBorders/>
          </w:tcPr>
          <w:p>
            <w:pPr>
              <w:pStyle w:val="Normal"/>
              <w:snapToGrid w:val="false"/>
              <w:spacing w:before="0" w:after="120"/>
              <w:jc w:val="both"/>
              <w:rPr>
                <w:b/>
              </w:rPr>
            </w:pPr>
            <w:r>
              <w:rPr>
                <w:b/>
              </w:rPr>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EnronOnline Content Guidelines</w:t>
            </w:r>
          </w:p>
        </w:tc>
      </w:tr>
    </w:tbl>
    <w:p>
      <w:pPr>
        <w:pStyle w:val="Normal"/>
        <w:pBdr>
          <w:bottom w:val="double" w:sz="12" w:space="1" w:color="000000"/>
        </w:pBdr>
        <w:rPr>
          <w:sz w:val="12"/>
        </w:rPr>
      </w:pPr>
      <w:r>
        <w:rPr>
          <w:sz w:val="12"/>
        </w:rPr>
      </w:r>
    </w:p>
    <w:p>
      <w:pPr>
        <w:pStyle w:val="Normal"/>
        <w:ind w:end="-1710"/>
        <w:rPr/>
      </w:pPr>
      <w:r>
        <w:rPr/>
        <w:tab/>
      </w:r>
    </w:p>
    <w:p>
      <w:pPr>
        <w:pStyle w:val="BodyText2"/>
        <w:ind w:firstLine="360" w:end="0"/>
        <w:jc w:val="both"/>
        <w:rPr/>
      </w:pPr>
      <w:r>
        <w:rPr/>
        <w:t>The following guidelines should be considered and applied when preparing and reviewing content for EnronOnline (“EOL”) or any other Enron website:</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Use of Counterparty Names</w:t>
      </w:r>
      <w:r>
        <w:rPr>
          <w:color w:val="000000"/>
        </w:rPr>
        <w:t>.  As a rule, I would advise against including counterparty names in EOL content (e.g. “Enron entered into a long-term power purchase agreement with XYZ Company pursuant to which it will supply firm power for 3 years.”)  Whether we have the rights to publish a name depends upon the contractual relationship with the particular counterparty.  If a particular business unit feels strongly about including a counterparty name and/or describing a particular transaction, you will need to coordinate with an attorney who worked on the particular transaction to ensure that the content complies with our contractual obligations to the counterparty.</w:t>
      </w:r>
    </w:p>
    <w:p>
      <w:pPr>
        <w:pStyle w:val="Normal"/>
        <w:keepLines/>
        <w:autoSpaceDE w:val="false"/>
        <w:spacing w:lineRule="atLeast" w:line="240"/>
        <w:ind w:start="360" w:end="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Avoid Advisory Language</w:t>
      </w:r>
      <w:r>
        <w:rPr>
          <w:color w:val="000000"/>
        </w:rPr>
        <w:t>:  We need to avoid language that leads to the implication that Enron is providing advisory services to our counterparties.  The Legal and Privacy Statement posted on EOL makes clear that Enron is an arms-length trading partner, not an advisor, in providing the website.  However, the content included on the site needs to be consistent with this statement.  Accordingly, we need to avoid phrases like "we can help you manage your risk" (compared to the acceptable statement that "we offer products that can help you manage your risk"), and statements that suggest that Enron wants to be a "partner", which could also create a fiduciary obligation that we do not intend.</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Ensure Balance</w:t>
      </w:r>
      <w:r>
        <w:rPr>
          <w:color w:val="000000"/>
        </w:rPr>
        <w:t>:  We need to avoid "puffery" and ensure that all presentations are balanced.  Thus, always present the downside as well as the upside of utilizing various products in a balanced manner.  For example, in describing a swap, it is okay to state that there is no upfront cost or premium for the swap.  However, this statement needs to be balanced with a statement that in exchange for price certainty, the buyer gives up the potential upside of favorable price movement.</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When to Include Disclaimers</w:t>
      </w:r>
      <w:r>
        <w:rPr>
          <w:color w:val="000000"/>
        </w:rPr>
        <w:t>.  We have set up the EOL website so that the Legal and Privacy statement contains exhaustive legal disclaimers and is included on every navigation bar on the site, with the home page including a textual reference to the Legal and Privacy statement.  If content is prepared for marketing materials or another Enron website, an attorney should consider the inclusion of disclaimers for any content that could be construed as advisory in nature (e.g., information about the use of risk management products).  Both the Legal and Privacy Statement and the edu-tainment materials I reviewed for Kal Shah that are currently posted on EOL contain examples of appropriate disclaimers.  Also, if new content is prepared for EOL that is similar to Kal’s edu-tainment pieces, an attorney should review and compare to the earlier pieces that I reviewed to determine if it is necessary to include disclaimer language within the content itself in addition to the Legal and Privacy statement.</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 xml:space="preserve">Avoid Implication that Enron Corp. </w:t>
      </w:r>
      <w:r>
        <w:rPr>
          <w:color w:val="000000"/>
        </w:rPr>
        <w:t>is</w:t>
      </w:r>
      <w:r>
        <w:rPr>
          <w:b/>
          <w:bCs/>
          <w:color w:val="000000"/>
        </w:rPr>
        <w:t xml:space="preserve"> the Counterparty to Transactions.  </w:t>
      </w:r>
      <w:r>
        <w:rPr>
          <w:color w:val="000000"/>
        </w:rPr>
        <w:t>Enron Corp. is not a counterparty to transactions entered into via EnronOnline, an Enron company or Enron affiliate is a counterparty.  Moreover, Enron Corp. does not guarantee performance of a particular transaction unless it has issued a written guarantee to the counterparty.  Thus, it is critical to avoid making statements that imply that Enron Corp. is the counterparty to a transaction (e.g., “You can enter into a transaction with confidence that you are doing business with Enron, a financially sound counterparty.”)  It is accurate to state that whenever a counterparty enters into a transaction on EOL, it can be confident that it is transacting with an Enron company or with a known principal (as distinguishable from other electronic trading platforms where it might not know with whom it will be matched until after the transaction is completed).</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b/>
          <w:bCs/>
          <w:color w:val="000000"/>
        </w:rPr>
      </w:pPr>
      <w:r>
        <w:rPr>
          <w:b/>
          <w:bCs/>
          <w:color w:val="000000"/>
        </w:rPr>
        <w:t>Hyperlinks to Other Sites.</w:t>
      </w:r>
      <w:r>
        <w:rPr>
          <w:color w:val="000000"/>
        </w:rPr>
        <w:t xml:space="preserve">  Mark Taylor has received advice that it is permissible to include links to the home pages of other websites on the EOL site without the consent of the site owner.   However, it is not permissible to deep link to another site (i.e., link to a location within the site that circumvents the home page).  It is critical that if we link to another site, we send our customer only to the home page so that the customer is then advised of all of terms and conditions of use of that site.</w:t>
      </w:r>
    </w:p>
    <w:p>
      <w:pPr>
        <w:pStyle w:val="Normal"/>
        <w:keepLines/>
        <w:autoSpaceDE w:val="false"/>
        <w:spacing w:lineRule="atLeast" w:line="240"/>
        <w:jc w:val="both"/>
        <w:rPr>
          <w:b/>
          <w:bCs/>
          <w:color w:val="000000"/>
        </w:rPr>
      </w:pPr>
      <w:r>
        <w:rPr>
          <w:b/>
          <w:bCs/>
          <w:color w:val="000000"/>
        </w:rPr>
      </w:r>
    </w:p>
    <w:p>
      <w:pPr>
        <w:pStyle w:val="Normal"/>
        <w:keepLines/>
        <w:numPr>
          <w:ilvl w:val="0"/>
          <w:numId w:val="2"/>
        </w:numPr>
        <w:autoSpaceDE w:val="false"/>
        <w:spacing w:lineRule="atLeast" w:line="240"/>
        <w:jc w:val="both"/>
        <w:rPr>
          <w:b/>
          <w:bCs/>
          <w:color w:val="000000"/>
        </w:rPr>
      </w:pPr>
      <w:r>
        <w:rPr>
          <w:b/>
          <w:bCs/>
          <w:color w:val="000000"/>
        </w:rPr>
        <w:t>Avoid the terms “Speculators” or “Speculate” and its Derivatives.</w:t>
      </w:r>
      <w:r>
        <w:rPr>
          <w:color w:val="000000"/>
        </w:rPr>
        <w:t xml:space="preserve">  This one is self-explanatory.  We do not want to suggest in our content that we are encouraging customers to speculate or that we are in the business of dealing with speculators.  You should always find a way of rephrasing a sentence to avoid these terms.</w:t>
      </w:r>
    </w:p>
    <w:p>
      <w:pPr>
        <w:pStyle w:val="Normal"/>
        <w:keepLines/>
        <w:autoSpaceDE w:val="false"/>
        <w:spacing w:lineRule="atLeast" w:line="240"/>
        <w:jc w:val="both"/>
        <w:rPr>
          <w:b/>
          <w:bCs/>
          <w:color w:val="000000"/>
        </w:rPr>
      </w:pPr>
      <w:r>
        <w:rPr>
          <w:b/>
          <w:bCs/>
          <w:color w:val="000000"/>
        </w:rPr>
      </w:r>
    </w:p>
    <w:p>
      <w:pPr>
        <w:pStyle w:val="Normal"/>
        <w:keepLines/>
        <w:numPr>
          <w:ilvl w:val="0"/>
          <w:numId w:val="2"/>
        </w:numPr>
        <w:autoSpaceDE w:val="false"/>
        <w:spacing w:lineRule="atLeast" w:line="240"/>
        <w:jc w:val="both"/>
        <w:rPr/>
      </w:pPr>
      <w:r>
        <w:rPr>
          <w:b/>
          <w:bCs/>
        </w:rPr>
        <w:t>Publication of Third Party Content or Use of Third Party Trade Names or Marks</w:t>
      </w:r>
      <w:r>
        <w:rPr/>
        <w:t xml:space="preserve">.  If we have a contractual relationship with an original author or publisher of content or owner of a trade name or trademark, we cannot republish the content -- either in its original form or in a compilation – or use the trade name or trademark unless the republication or use is permitted by the underlying contract.  If we have a contract with the content provider, the information should not be used unless legal has reviewed the contract and confirmed that we have the right to republish.  If we do not have a contractual relationship with the original author or publisher, we cannot republish the information without running into copyright infringement issues, unless it is a government source.  Copyright claims are evaluated based on a fact-specific balancing test, and it is always difficult to predict whether we can use third-party content without exposure.  Thus, you should always avoid republishing either direct copies of or compilations of information derived from third-party sources and instead use internally generated graphs, charts, etc.  [However, if the original source is a government publication, it is fair use to republish such content or information with appropriate attribution to the source.]  If a third-party source is used in the creation of the content, but Enron reformatted and added its own content to create the end product, it is probably okay to republish such content.  In such a case, I would not advise including an attribution to the original source.  It just draws the original author’s attention to the fact that we used his/her content without permission.  If you want to use content in its original published format, we need to seek permission from the author to publish such content.  </w:t>
      </w:r>
    </w:p>
    <w:p>
      <w:pPr>
        <w:pStyle w:val="BodyTextIndent3"/>
        <w:rPr/>
      </w:pPr>
      <w:r>
        <w:rPr/>
      </w:r>
    </w:p>
    <w:p>
      <w:pPr>
        <w:pStyle w:val="Header"/>
        <w:tabs>
          <w:tab w:val="clear" w:pos="4320"/>
          <w:tab w:val="clear" w:pos="8640"/>
        </w:tabs>
        <w:rPr/>
      </w:pPr>
      <w:r>
        <w:rPr/>
      </w:r>
    </w:p>
    <w:p>
      <w:pPr>
        <w:pStyle w:val="Normal"/>
        <w:jc w:val="center"/>
        <w:rPr/>
      </w:pPr>
      <w:r>
        <w:rPr/>
        <w:t>LMH</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/mnt/main-storage/datasets/enron-docs/doc/File_re_EOL_Content_Guidelines.doc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/mnt/main-storage/datasets/enron-docs/doc/File_re_EOL_Content_Guidelines.doc</w:t>
    </w:r>
    <w:r>
      <w:rPr>
        <w:sz w:val="16"/>
        <w:b/>
      </w:rPr>
      <w:fldChar w:fldCharType="end"/>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left" w:pos="720" w:leader="none"/>
      </w:tabs>
      <w:ind w:hanging="720" w:start="720" w:end="0"/>
    </w:pPr>
    <w:rPr/>
  </w:style>
  <w:style w:type="paragraph" w:styleId="BodyText2">
    <w:name w:val="Body Text 2"/>
    <w:basedOn w:val="Normal"/>
    <w:qFormat/>
    <w:pPr>
      <w:keepLines/>
      <w:autoSpaceDE w:val="false"/>
      <w:spacing w:lineRule="atLeast" w:line="240"/>
    </w:pPr>
    <w:rPr>
      <w:color w:val="000000"/>
    </w:rPr>
  </w:style>
  <w:style w:type="paragraph" w:styleId="BodyTextIndent3">
    <w:name w:val="Body Text Indent 3"/>
    <w:basedOn w:val="Normal"/>
    <w:qFormat/>
    <w:pPr>
      <w:keepLines/>
      <w:autoSpaceDE w:val="false"/>
      <w:spacing w:lineRule="atLeast" w:line="240"/>
      <w:ind w:hanging="0" w:start="720" w:end="0"/>
    </w:pPr>
    <w:rPr>
      <w:color w:val="00000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2000-12-20T14:58:00Z</dcterms:created>
  <dc:creator>ECT</dc:creator>
  <dc:description/>
  <dc:language>en-CA</dc:language>
  <cp:lastModifiedBy>leslie hansen</cp:lastModifiedBy>
  <cp:lastPrinted>2000-12-21T12:25:00Z</cp:lastPrinted>
  <dcterms:modified xsi:type="dcterms:W3CDTF">2000-12-21T15:57:00Z</dcterms:modified>
  <cp:revision>8</cp:revision>
  <dc:subject/>
  <dc:title>New Logo Form Memo</dc:title>
</cp:coreProperties>
</file>