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jc w:val="end"/>
        <w:rPr/>
      </w:pPr>
      <w:r>
        <w:rPr/>
        <w:tab/>
        <w:tab/>
        <w:tab/>
        <w:tab/>
        <w:tab/>
        <w:tab/>
        <w:tab/>
        <w:t>PRIVILEGED AND CONFIDENTAIL</w:t>
      </w:r>
    </w:p>
    <w:p>
      <w:pPr>
        <w:pStyle w:val="Heading"/>
        <w:widowControl/>
        <w:jc w:val="end"/>
        <w:rPr/>
      </w:pPr>
      <w:r>
        <w:rPr/>
        <w:tab/>
        <w:tab/>
        <w:tab/>
        <w:tab/>
        <w:tab/>
        <w:tab/>
        <w:tab/>
        <w:t>ATTORNEY/CLIENT PRIVILEGE</w:t>
      </w:r>
    </w:p>
    <w:p>
      <w:pPr>
        <w:pStyle w:val="Heading"/>
        <w:widowControl/>
        <w:jc w:val="end"/>
        <w:rPr/>
      </w:pPr>
      <w:r>
        <w:rPr/>
        <w:tab/>
        <w:tab/>
        <w:tab/>
        <w:tab/>
        <w:tab/>
        <w:tab/>
        <w:tab/>
        <w:t>PREPARED IN ANTICIPATION OF LITIGATION</w:t>
      </w:r>
    </w:p>
    <w:p>
      <w:pPr>
        <w:pStyle w:val="Heading"/>
        <w:widowControl/>
        <w:rPr>
          <w:u w:val="single"/>
        </w:rPr>
      </w:pPr>
      <w:r>
        <w:rPr>
          <w:u w:val="single"/>
        </w:rPr>
      </w:r>
    </w:p>
    <w:p>
      <w:pPr>
        <w:pStyle w:val="Heading"/>
        <w:widowControl/>
        <w:rPr>
          <w:u w:val="single"/>
        </w:rPr>
      </w:pPr>
      <w:r>
        <w:rPr>
          <w:u w:val="single"/>
        </w:rPr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5675"/>
        <w:gridCol w:w="1615"/>
        <w:gridCol w:w="2340"/>
      </w:tblGrid>
      <w:tr>
        <w:trPr>
          <w:trHeight w:val="300" w:hRule="exact"/>
        </w:trPr>
        <w:tc>
          <w:tcPr>
            <w:tcW w:w="117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To:</w:t>
            </w:r>
          </w:p>
        </w:tc>
        <w:tc>
          <w:tcPr>
            <w:tcW w:w="567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  <w:sz w:val="24"/>
              </w:rPr>
            </w:pPr>
            <w:bookmarkStart w:id="0" w:name="to"/>
            <w:bookmarkEnd w:id="0"/>
            <w:r>
              <w:rPr>
                <w:rFonts w:cs="Times New Roman" w:ascii="Times New Roman" w:hAnsi="Times New Roman"/>
                <w:sz w:val="24"/>
              </w:rPr>
              <w:t>Mary Kay Miller</w:t>
            </w:r>
          </w:p>
        </w:tc>
        <w:tc>
          <w:tcPr>
            <w:tcW w:w="1615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117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5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exact"/>
        </w:trPr>
        <w:tc>
          <w:tcPr>
            <w:tcW w:w="117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From:</w:t>
            </w:r>
          </w:p>
        </w:tc>
        <w:tc>
          <w:tcPr>
            <w:tcW w:w="567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Drew Fossum</w:t>
            </w:r>
          </w:p>
        </w:tc>
        <w:tc>
          <w:tcPr>
            <w:tcW w:w="1615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Department:</w:t>
            </w:r>
          </w:p>
        </w:tc>
        <w:tc>
          <w:tcPr>
            <w:tcW w:w="2340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  <w:sz w:val="24"/>
              </w:rPr>
            </w:pPr>
            <w:bookmarkStart w:id="1" w:name="From"/>
            <w:bookmarkEnd w:id="1"/>
            <w:r>
              <w:rPr>
                <w:rFonts w:cs="Times New Roman" w:ascii="Times New Roman" w:hAnsi="Times New Roman"/>
                <w:sz w:val="24"/>
              </w:rPr>
              <w:t>Legal</w:t>
            </w:r>
          </w:p>
        </w:tc>
      </w:tr>
      <w:tr>
        <w:trPr>
          <w:trHeight w:val="216" w:hRule="exact"/>
        </w:trPr>
        <w:tc>
          <w:tcPr>
            <w:tcW w:w="117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  <w:tc>
          <w:tcPr>
            <w:tcW w:w="567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exact"/>
        </w:trPr>
        <w:tc>
          <w:tcPr>
            <w:tcW w:w="1170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Subject:</w:t>
            </w:r>
          </w:p>
        </w:tc>
        <w:tc>
          <w:tcPr>
            <w:tcW w:w="5675" w:type="dxa"/>
            <w:tcBorders>
              <w:bottom w:val="single" w:sz="18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  <w:sz w:val="24"/>
              </w:rPr>
            </w:pPr>
            <w:bookmarkStart w:id="2" w:name="Subject"/>
            <w:bookmarkEnd w:id="2"/>
            <w:r>
              <w:rPr>
                <w:rFonts w:cs="Times New Roman" w:ascii="Times New Roman" w:hAnsi="Times New Roman"/>
                <w:sz w:val="24"/>
              </w:rPr>
              <w:t>Field-Market Cost Analysis</w:t>
            </w:r>
          </w:p>
        </w:tc>
        <w:tc>
          <w:tcPr>
            <w:tcW w:w="1615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Date:</w:t>
            </w:r>
          </w:p>
        </w:tc>
        <w:tc>
          <w:tcPr>
            <w:tcW w:w="2340" w:type="dxa"/>
            <w:tcBorders>
              <w:bottom w:val="single" w:sz="18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January 19, 2000</w:t>
            </w:r>
          </w:p>
        </w:tc>
      </w:tr>
    </w:tbl>
    <w:p>
      <w:pPr>
        <w:pStyle w:val="Body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As we discussed yesterday, there is an increasing likelihood of litigation either in Northern’s next rate case or earlier if the Commission or a customer initiates a Section 5 case on the issue of how Northern allocates costs to its market and field areas.  To allow us to prepare for such litigation, should it arise, I need your group to prepare a study breaking Northern’s settlement cost of service into a separate field and market area cost of service.</w:t>
      </w:r>
    </w:p>
    <w:p>
      <w:pPr>
        <w:pStyle w:val="Body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Please direct this study only to me, and label each page prominently with the same heading that appears on this memo.</w:t>
      </w:r>
    </w:p>
    <w:p>
      <w:pPr>
        <w:pStyle w:val="Body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Thanks for your assistance with this matter.</w:t>
      </w:r>
    </w:p>
    <w:p>
      <w:pPr>
        <w:pStyle w:val="Body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"/>
        <w:widowControl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\@"M-d-yyyy"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0</w:t>
    </w:r>
    <w:r>
      <w:rPr>
        <w:sz w:val="2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-274955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1.6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2000-01-19T15:30:00Z</dcterms:created>
  <dc:creator>..</dc:creator>
  <dc:description/>
  <dc:language>en-CA</dc:language>
  <cp:lastModifiedBy>Enron</cp:lastModifiedBy>
  <cp:lastPrinted>2000-01-19T12:08:00Z</cp:lastPrinted>
  <dcterms:modified xsi:type="dcterms:W3CDTF">2000-01-19T16:03:00Z</dcterms:modified>
  <cp:revision>8</cp:revision>
  <dc:subject/>
  <dc:title>Better, Faster, Simpler Memo </dc:title>
</cp:coreProperties>
</file>