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UNITED STATES OF AMERICA</w:t>
      </w:r>
    </w:p>
    <w:p>
      <w:pPr>
        <w:pStyle w:val="BodyText"/>
        <w:jc w:val="center"/>
        <w:rPr>
          <w:b/>
        </w:rPr>
      </w:pPr>
      <w:r>
        <w:rPr>
          <w:b/>
        </w:rPr>
        <w:t>FEDERAL ENERGY REGULATORY COMMISSION</w:t>
      </w:r>
    </w:p>
    <w:p>
      <w:pPr>
        <w:pStyle w:val="BodyText"/>
        <w:jc w:val="center"/>
        <w:rPr>
          <w:b/>
        </w:rPr>
      </w:pPr>
      <w:r>
        <w:rPr>
          <w:b/>
        </w:rPr>
      </w:r>
    </w:p>
    <w:p>
      <w:pPr>
        <w:pStyle w:val="BodyText"/>
        <w:rPr>
          <w:b/>
        </w:rPr>
      </w:pPr>
      <w:r>
        <w:rPr>
          <w:b/>
        </w:rPr>
        <w:t>Investigation of Electric Bulk Power Markets</w:t>
      </w:r>
    </w:p>
    <w:p>
      <w:pPr>
        <w:pStyle w:val="BodyText"/>
        <w:jc w:val="center"/>
        <w:rPr>
          <w:b/>
        </w:rPr>
      </w:pPr>
      <w:r>
        <w:rPr>
          <w:b/>
        </w:rPr>
      </w:r>
    </w:p>
    <w:p>
      <w:pPr>
        <w:pStyle w:val="BodyText"/>
        <w:jc w:val="center"/>
        <w:rPr>
          <w:b/>
        </w:rPr>
      </w:pPr>
      <w:r>
        <w:rPr>
          <w:b/>
        </w:rPr>
      </w:r>
    </w:p>
    <w:p>
      <w:pPr>
        <w:pStyle w:val="BodyText"/>
        <w:jc w:val="center"/>
        <w:rPr/>
      </w:pPr>
      <w:r>
        <w:rPr/>
        <w:t>DATA RESPONSES OF ENRON POWER MARKETING, INC., AND ENRON ENERGY SERVICES</w:t>
      </w:r>
    </w:p>
    <w:p>
      <w:pPr>
        <w:pStyle w:val="BodyText"/>
        <w:jc w:val="center"/>
        <w:rPr/>
      </w:pPr>
      <w:r>
        <w:rPr/>
        <w:t>FOR BULK POWER INVESTIGATION</w:t>
      </w:r>
    </w:p>
    <w:p>
      <w:pPr>
        <w:pStyle w:val="BodyText"/>
        <w:rPr/>
      </w:pPr>
      <w:r>
        <w:rPr/>
      </w:r>
    </w:p>
    <w:p>
      <w:pPr>
        <w:pStyle w:val="BodyText"/>
        <w:numPr>
          <w:ilvl w:val="0"/>
          <w:numId w:val="3"/>
        </w:numPr>
        <w:rPr/>
      </w:pPr>
      <w:r>
        <w:rPr/>
        <w:t>Q.</w:t>
        <w:tab/>
        <w:t>Please provide all data requests and responses provided to the California Public Utilities Commission (CPUC.) and other parties conducting similar investigations.</w:t>
      </w:r>
    </w:p>
    <w:p>
      <w:pPr>
        <w:pStyle w:val="BodyText"/>
        <w:rPr/>
      </w:pPr>
      <w:r>
        <w:rPr/>
      </w:r>
    </w:p>
    <w:p>
      <w:pPr>
        <w:pStyle w:val="BodyText"/>
        <w:ind w:hanging="720" w:start="720" w:end="0"/>
        <w:rPr/>
      </w:pPr>
      <w:r>
        <w:rPr/>
        <w:t>A.</w:t>
        <w:tab/>
        <w:t xml:space="preserve">Data responses are due on September 15, 2000.  Enron Corp. will provide these responses to the Commission Staff at that time. </w:t>
      </w:r>
    </w:p>
    <w:p>
      <w:pPr>
        <w:pStyle w:val="BodyText"/>
        <w:ind w:hanging="432" w:start="432" w:end="0"/>
        <w:rPr/>
      </w:pPr>
      <w:r>
        <w:rPr/>
      </w:r>
    </w:p>
    <w:p>
      <w:pPr>
        <w:pStyle w:val="BodyText"/>
        <w:ind w:hanging="720" w:start="720" w:end="0"/>
        <w:rPr/>
      </w:pPr>
      <w:r>
        <w:rPr/>
        <w:t>2.</w:t>
        <w:tab/>
        <w:t>Q.</w:t>
        <w:tab/>
        <w:t xml:space="preserve">Please describe your strategy for bidding generation resources into markets. (i.e. PX, ISO, other markets, trading points etc.) </w:t>
      </w:r>
    </w:p>
    <w:p>
      <w:pPr>
        <w:pStyle w:val="Header"/>
        <w:tabs>
          <w:tab w:val="clear" w:pos="4320"/>
          <w:tab w:val="clear" w:pos="8640"/>
        </w:tabs>
        <w:ind w:hanging="720" w:start="720" w:end="0"/>
        <w:rPr/>
      </w:pPr>
      <w:r>
        <w:rPr/>
      </w:r>
    </w:p>
    <w:p>
      <w:pPr>
        <w:pStyle w:val="Header"/>
        <w:numPr>
          <w:ilvl w:val="0"/>
          <w:numId w:val="2"/>
        </w:numPr>
        <w:tabs>
          <w:tab w:val="clear" w:pos="4320"/>
          <w:tab w:val="clear" w:pos="8640"/>
        </w:tabs>
        <w:rPr/>
      </w:pPr>
      <w:r>
        <w:rPr/>
        <w:t xml:space="preserve">In the Western Interconnect, Enron owns only one generation resource that it controls how it is bid into markets (Las Vegas cogeneration).  This generator is located outside California. It has a purchase power agreement with Nevada Power which allows Nevada Power to take the entire output of the project, which during peak periods leaves little power to bid into the markets. EPMI’s bidding strategy for this generator considers the variable production costs, operational constraints, costs to transport energy to tie points (usually transmission, losses, and tie meter multipliers), and desired profit margin to determine minimum prices to bid into the CalPX or CaISO markets.  Also taken into consideration are sales opportunities in non-California bilateral markets (non-California generators) which may result in higher net profits from time to time. </w:t>
      </w:r>
    </w:p>
    <w:p>
      <w:pPr>
        <w:pStyle w:val="Header"/>
        <w:tabs>
          <w:tab w:val="clear" w:pos="4320"/>
          <w:tab w:val="clear" w:pos="8640"/>
        </w:tabs>
        <w:rPr/>
      </w:pPr>
      <w:r>
        <w:rPr/>
      </w:r>
    </w:p>
    <w:p>
      <w:pPr>
        <w:pStyle w:val="Header"/>
        <w:tabs>
          <w:tab w:val="clear" w:pos="4320"/>
          <w:tab w:val="clear" w:pos="8640"/>
        </w:tabs>
        <w:ind w:hanging="720" w:start="720" w:end="0"/>
        <w:rPr/>
      </w:pPr>
      <w:r>
        <w:rPr/>
        <w:t>3.</w:t>
        <w:tab/>
        <w:t>Q.</w:t>
        <w:tab/>
        <w:t>For the period May 1, 2000 through August 15, 2000, provide (by day, in Excel Spreadsheet format) the percentage of your total generation resources that were bid into the PX, ISO and other markets.</w:t>
      </w:r>
    </w:p>
    <w:p>
      <w:pPr>
        <w:pStyle w:val="Header"/>
        <w:tabs>
          <w:tab w:val="clear" w:pos="4320"/>
          <w:tab w:val="clear" w:pos="8640"/>
        </w:tabs>
        <w:ind w:hanging="720" w:start="720" w:end="0"/>
        <w:rPr/>
      </w:pPr>
      <w:r>
        <w:rPr/>
      </w:r>
    </w:p>
    <w:p>
      <w:pPr>
        <w:pStyle w:val="Header"/>
        <w:tabs>
          <w:tab w:val="clear" w:pos="4320"/>
          <w:tab w:val="clear" w:pos="8640"/>
        </w:tabs>
        <w:ind w:start="720" w:end="0"/>
        <w:rPr/>
      </w:pPr>
      <w:r>
        <w:rPr/>
        <w:t>A.</w:t>
        <w:tab/>
        <w:t>See Excel Spreadsheet entitled “FERC.”</w:t>
      </w:r>
    </w:p>
    <w:p>
      <w:pPr>
        <w:pStyle w:val="Normal"/>
        <w:rPr/>
      </w:pPr>
      <w:r>
        <w:rPr/>
      </w:r>
    </w:p>
    <w:p>
      <w:pPr>
        <w:pStyle w:val="BodyText"/>
        <w:ind w:hanging="720" w:start="720" w:end="0"/>
        <w:rPr/>
      </w:pPr>
      <w:r>
        <w:rPr/>
        <w:t>4.  Q.</w:t>
        <w:tab/>
        <w:t>From May 1, 2000 through August 15, 2000, please provide the following for each generation resource: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Unit name</w:t>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Unit identifier</w:t>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Month</w:t>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Day</w:t>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Capacity available for service</w:t>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Capacity out of service</w:t>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Reason for any capacity out of service (Nox restrictions, deratings etc..)</w:t>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Total daily output over 24 hours</w:t>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Peak daily output</w:t>
        <w:tab/>
        <w:tab/>
        <w:tab/>
        <w:tab/>
      </w:r>
    </w:p>
    <w:p>
      <w:pPr>
        <w:pStyle w:val="BodyText"/>
        <w:ind w:firstLine="720" w:end="0"/>
        <w:rPr>
          <w:color w:val="000000"/>
        </w:rPr>
      </w:pPr>
      <w:r>
        <w:rPr>
          <w:color w:val="000000"/>
        </w:rPr>
        <w:t>If peak output less the capacity available for service, give reason</w:t>
      </w:r>
    </w:p>
    <w:p>
      <w:pPr>
        <w:pStyle w:val="BodyText"/>
        <w:ind w:firstLine="720" w:end="0"/>
        <w:rPr>
          <w:color w:val="000000"/>
        </w:rPr>
      </w:pPr>
      <w:r>
        <w:rPr>
          <w:color w:val="000000"/>
        </w:rPr>
      </w:r>
    </w:p>
    <w:p>
      <w:pPr>
        <w:pStyle w:val="Normal"/>
        <w:spacing w:lineRule="atLeast" w:line="240"/>
        <w:ind w:hanging="720" w:start="720" w:end="0"/>
        <w:rPr>
          <w:color w:val="000000"/>
          <w:lang w:eastAsia="en-US"/>
        </w:rPr>
      </w:pPr>
      <w:r>
        <w:rPr>
          <w:color w:val="000000"/>
          <w:lang w:eastAsia="en-US"/>
        </w:rPr>
        <w:t>A.</w:t>
        <w:tab/>
        <w:t xml:space="preserve">LV Cogen (LVC) is a 50 MW PURPA Qualifying Facility (QF) located in North Las Vegas that has a long term QF power sale agreement with Nevada Power Company (NPC). LVC’s sale to Nevada is 45 MW hour ending 11-22 May-Sept and changes to hour ending 6-10 and 17-22 October through April. EPMI has agreed to market the excess output during the QF sale hours (4-5 MW) as well as the output during hours when there is no QF sale (49-50 MW). </w:t>
      </w:r>
    </w:p>
    <w:p>
      <w:pPr>
        <w:pStyle w:val="Normal"/>
        <w:spacing w:lineRule="atLeast" w:line="240"/>
        <w:rPr>
          <w:rFonts w:ascii="Tms Rmn" w:hAnsi="Tms Rmn" w:cs="Tms Rmn"/>
          <w:color w:val="000000"/>
          <w:lang w:eastAsia="en-US"/>
        </w:rPr>
      </w:pPr>
      <w:r>
        <w:rPr>
          <w:rFonts w:cs="Tms Rmn" w:ascii="Tms Rmn" w:hAnsi="Tms Rmn"/>
          <w:color w:val="000000"/>
          <w:lang w:eastAsia="en-US"/>
        </w:rPr>
      </w:r>
    </w:p>
    <w:p>
      <w:pPr>
        <w:pStyle w:val="BodyText"/>
        <w:ind w:start="720" w:end="0"/>
        <w:rPr/>
      </w:pPr>
      <w:r>
        <w:rPr/>
        <w:t xml:space="preserve">EPMI will generally purchase transmission from NPC from the plant to Mead and sell the power to the PX or ISO at Mead (LC1). There are occasions where Mead congestion has resulted in EPMI purchasing additional wheels from Mead to Palo Verde (from APS) to get the power into the CAISO.  </w:t>
      </w:r>
      <w:r>
        <w:rPr>
          <w:color w:val="000000"/>
          <w:lang w:eastAsia="en-US"/>
        </w:rPr>
        <w:t>Peak hour production is 50MW.  Total daily output 1200 MW. (50X24hrs)</w:t>
      </w:r>
      <w:r>
        <w:rPr/>
        <w:tab/>
      </w:r>
    </w:p>
    <w:p>
      <w:pPr>
        <w:pStyle w:val="BodyText"/>
        <w:ind w:start="720" w:end="0"/>
        <w:rPr/>
      </w:pPr>
      <w:r>
        <w:rPr/>
      </w:r>
    </w:p>
    <w:p>
      <w:pPr>
        <w:pStyle w:val="BodyText"/>
        <w:ind w:start="720" w:end="0"/>
        <w:rPr/>
      </w:pPr>
      <w:r>
        <w:rPr/>
        <w:t>For the remainder of the response to this request, see the spreadsheet titled “lv cogen runtimes.”</w:t>
      </w:r>
    </w:p>
    <w:p>
      <w:pPr>
        <w:pStyle w:val="BodyText"/>
        <w:rPr/>
      </w:pPr>
      <w:r>
        <w:rPr/>
      </w:r>
    </w:p>
    <w:p>
      <w:pPr>
        <w:pStyle w:val="BodyText"/>
        <w:numPr>
          <w:ilvl w:val="0"/>
          <w:numId w:val="1"/>
        </w:numPr>
        <w:rPr/>
      </w:pPr>
      <w:r>
        <w:rPr/>
        <w:t>Q.</w:t>
        <w:tab/>
        <w:t>Identify each market (ISO, PX, bilateral market trading points) where you actively trade.</w:t>
      </w:r>
    </w:p>
    <w:p>
      <w:pPr>
        <w:pStyle w:val="Normal"/>
        <w:rPr/>
      </w:pPr>
      <w:r>
        <w:rPr/>
      </w:r>
    </w:p>
    <w:p>
      <w:pPr>
        <w:pStyle w:val="Normal"/>
        <w:ind w:hanging="720" w:start="720" w:end="0"/>
        <w:rPr/>
      </w:pPr>
      <w:r>
        <w:rPr/>
        <w:t>A.</w:t>
        <w:tab/>
        <w:t>Enron Capital and Trade (EPMI) is a Certified Schedule Coordinator (SC) with the California ISO and a PX Participant.  It actively trades electric power at the following wholesale points: Mid Columbia, COB, Palo Verde, NP15, SP15.</w:t>
      </w:r>
    </w:p>
    <w:p>
      <w:pPr>
        <w:pStyle w:val="Normal"/>
        <w:ind w:start="360" w:end="0"/>
        <w:rPr/>
      </w:pPr>
      <w:r>
        <w:rPr/>
      </w:r>
    </w:p>
    <w:p>
      <w:pPr>
        <w:pStyle w:val="Normal"/>
        <w:ind w:start="720" w:end="0"/>
        <w:rPr/>
      </w:pPr>
      <w:r>
        <w:rPr/>
        <w:t>Although EES is a Certified Schedule Coordinator (SC) with the California ISO and a PX Participant, EES does not actively utilize its SC certification or its PX Trade Application.  The SC and PX Trade Application activities associated with EES’s California retail load are executed by EPMI.  EES does participate in the bilateral wholesale markets, rather its transactions are executed through EPMI, to actively buy or sell electric power at the following wholesale points: COB, Palo Verde, NP15, SP15.</w:t>
      </w:r>
    </w:p>
    <w:p>
      <w:pPr>
        <w:pStyle w:val="Normal"/>
        <w:ind w:start="360" w:end="0"/>
        <w:rPr/>
      </w:pPr>
      <w:r>
        <w:rPr/>
      </w:r>
    </w:p>
    <w:p>
      <w:pPr>
        <w:pStyle w:val="BodyText2"/>
        <w:rPr/>
      </w:pPr>
      <w:r>
        <w:rPr/>
        <w:t xml:space="preserve"> </w:t>
      </w:r>
      <w:r>
        <w:rPr/>
        <w:t>6.</w:t>
        <w:tab/>
        <w:t>Q.</w:t>
        <w:tab/>
        <w:t>Explain how your trading strategy has changed in the Western markets.</w:t>
      </w:r>
    </w:p>
    <w:p>
      <w:pPr>
        <w:pStyle w:val="Normal"/>
        <w:ind w:start="360" w:end="0"/>
        <w:rPr/>
      </w:pPr>
      <w:r>
        <w:rPr/>
      </w:r>
    </w:p>
    <w:p>
      <w:pPr>
        <w:pStyle w:val="Normal"/>
        <w:ind w:hanging="720" w:start="720" w:end="0"/>
        <w:rPr/>
      </w:pPr>
      <w:r>
        <w:rPr/>
        <w:t>A.</w:t>
        <w:tab/>
        <w:t xml:space="preserve">EPMI’s trading strategy has evolved into a more fundamental approach to the Western market.  We try to move power to the highest valued point on the grid; thus we rely on the fundamentals to provide us with a forward view of such points and the charges that are associated with each transaction. Volatile prices in the west in the prompt year and 2001 have provided EPMI with the opportunity to purchase/sell power in later years to hedge long-term positions associated with existing contracts. </w:t>
      </w:r>
    </w:p>
    <w:p>
      <w:pPr>
        <w:pStyle w:val="Normal"/>
        <w:ind w:start="360" w:end="0"/>
        <w:rPr/>
      </w:pPr>
      <w:r>
        <w:rPr/>
      </w:r>
    </w:p>
    <w:p>
      <w:pPr>
        <w:pStyle w:val="Normal"/>
        <w:ind w:start="720" w:end="0"/>
        <w:rPr/>
      </w:pPr>
      <w:r>
        <w:rPr/>
        <w:t>EES California retail transactions are typically 3-5 year discount off UDC tariff (fixed price) transactions.  Prior to Q2, 2000 EES had to some extent used a stack and roll hedging practice (buy power for first year in order to hedge short position in later years).  The increase in prompt year and 2001 prices has provided EES with the opportunity to purchase power in later years to more accurately hedge the long term short position associated with its retail portfolio of contracts.  Due to the expected addition of incremental generation in 2002, power for 2002 and beyond now trades at a discount to 2000 and 2001 price levels.</w:t>
      </w:r>
    </w:p>
    <w:p>
      <w:pPr>
        <w:pStyle w:val="Normal"/>
        <w:rPr/>
      </w:pPr>
      <w:r>
        <w:rPr/>
      </w:r>
    </w:p>
    <w:p>
      <w:pPr>
        <w:pStyle w:val="BodyTextIndent2"/>
        <w:numPr>
          <w:ilvl w:val="0"/>
          <w:numId w:val="4"/>
        </w:numPr>
        <w:ind w:hanging="720" w:start="720" w:end="0"/>
        <w:rPr/>
      </w:pPr>
      <w:r>
        <w:rPr/>
        <w:t>Q.</w:t>
        <w:tab/>
        <w:t>Identify the electricity products (firm power, ancillary service products, etc) your company marketed or traded in the Western interconnection during the year 2000.</w:t>
      </w:r>
    </w:p>
    <w:p>
      <w:pPr>
        <w:pStyle w:val="Normal"/>
        <w:ind w:start="360" w:end="0"/>
        <w:rPr/>
      </w:pPr>
      <w:r>
        <w:rPr/>
      </w:r>
    </w:p>
    <w:p>
      <w:pPr>
        <w:pStyle w:val="Normal"/>
        <w:ind w:hanging="720" w:start="720" w:end="0"/>
        <w:rPr/>
      </w:pPr>
      <w:r>
        <w:rPr/>
        <w:t>A.</w:t>
        <w:tab/>
        <w:t>EPMI typically trades electricity as firm power in the BI-lateral, PX and ISO markets.  Within the PX and ISO, EPMI transacts in all day ahead and hour ahead markets (such markets include ancillary service, supplemental, etc.)</w:t>
      </w:r>
    </w:p>
    <w:p>
      <w:pPr>
        <w:pStyle w:val="Normal"/>
        <w:ind w:start="360" w:end="0"/>
        <w:rPr/>
      </w:pPr>
      <w:r>
        <w:rPr/>
        <w:t xml:space="preserve"> </w:t>
      </w:r>
    </w:p>
    <w:p>
      <w:pPr>
        <w:pStyle w:val="Normal"/>
        <w:ind w:start="720" w:end="0"/>
        <w:rPr/>
      </w:pPr>
      <w:r>
        <w:rPr/>
        <w:t>EES’s typical retail product is a full requirements end user product which is inclusive of firm power and ancillary services delivered to the customer meter.  EES hedges these retail transactions through the purchase of firm power and ancillary services in the bilateral wholesale markets and on a day ahead or real time basis through the ISO, PX and APX markets.</w:t>
      </w:r>
    </w:p>
    <w:p>
      <w:pPr>
        <w:pStyle w:val="Normal"/>
        <w:ind w:start="360" w:end="0"/>
        <w:rPr/>
      </w:pPr>
      <w:r>
        <w:rPr/>
      </w:r>
    </w:p>
    <w:p>
      <w:pPr>
        <w:pStyle w:val="BodyTextIndent3"/>
        <w:numPr>
          <w:ilvl w:val="0"/>
          <w:numId w:val="4"/>
        </w:numPr>
        <w:tabs>
          <w:tab w:val="left" w:pos="180" w:leader="none"/>
          <w:tab w:val="left" w:pos="450" w:leader="none"/>
        </w:tabs>
        <w:ind w:hanging="360" w:start="450" w:end="0"/>
        <w:rPr/>
      </w:pPr>
      <w:r>
        <w:rPr/>
        <w:t>Q.</w:t>
        <w:tab/>
        <w:t>Provide cumulative transaction volumes (million of Mwh) of electricity (by calendar quarter) for 1999 and 2000.</w:t>
      </w:r>
    </w:p>
    <w:p>
      <w:pPr>
        <w:pStyle w:val="Normal"/>
        <w:tabs>
          <w:tab w:val="clear" w:pos="720"/>
          <w:tab w:val="left" w:pos="180" w:leader="none"/>
        </w:tabs>
        <w:rPr/>
      </w:pPr>
      <w:r>
        <w:rPr/>
      </w:r>
    </w:p>
    <w:p>
      <w:pPr>
        <w:pStyle w:val="Normal"/>
        <w:tabs>
          <w:tab w:val="clear" w:pos="720"/>
          <w:tab w:val="left" w:pos="180" w:leader="none"/>
        </w:tabs>
        <w:ind w:hanging="270" w:start="360" w:end="0"/>
        <w:rPr/>
      </w:pPr>
      <w:r>
        <w:rPr/>
        <w:tab/>
        <w:tab/>
        <w:t>EES transactions are included in EPMI transaction volumes.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P:\Reg Aff\MCH\Cal ISO Price Caps\Data Responses.doc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7"/>
      <w:numFmt w:val="decimal"/>
      <w:lvlText w:val="%1."/>
      <w:lvlJc w:val="start"/>
      <w:pPr>
        <w:tabs>
          <w:tab w:val="num" w:pos="360"/>
        </w:tabs>
        <w:ind w:start="36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360" w:start="360" w:end="0"/>
    </w:pPr>
    <w:rPr/>
  </w:style>
  <w:style w:type="paragraph" w:styleId="BodyTextIndent3">
    <w:name w:val="Body Text Indent 3"/>
    <w:basedOn w:val="Normal"/>
    <w:qFormat/>
    <w:pPr>
      <w:tabs>
        <w:tab w:val="clear" w:pos="720"/>
        <w:tab w:val="left" w:pos="180" w:leader="none"/>
      </w:tabs>
      <w:ind w:hanging="270" w:start="360" w:end="0"/>
    </w:pPr>
    <w:rPr/>
  </w:style>
  <w:style w:type="paragraph" w:styleId="BodyText2">
    <w:name w:val="Body Text 2"/>
    <w:basedOn w:val="Normal"/>
    <w:qFormat/>
    <w:pPr>
      <w:spacing w:lineRule="atLeast" w:line="240"/>
    </w:pPr>
    <w:rPr>
      <w:color w:val="000000"/>
      <w:lang w:eastAsia="en-US"/>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2000-10-12T14:40:00Z</dcterms:created>
  <dc:creator>Lysa Akin</dc:creator>
  <dc:description/>
  <dc:language>en-CA</dc:language>
  <cp:lastModifiedBy>msmith2</cp:lastModifiedBy>
  <cp:lastPrinted>2000-09-08T15:27:00Z</cp:lastPrinted>
  <dcterms:modified xsi:type="dcterms:W3CDTF">2000-10-12T14:40:00Z</dcterms:modified>
  <cp:revision>2</cp:revision>
  <dc:subject/>
  <dc:title>#2</dc:title>
</cp:coreProperties>
</file>