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jc w:val="center"/>
        <w:rPr>
          <w:b/>
          <w:bCs/>
          <w:i/>
          <w:i/>
          <w:iCs/>
          <w:smallCaps/>
          <w:color w:val="000000"/>
          <w:szCs w:val="20"/>
        </w:rPr>
      </w:pPr>
      <w:r>
        <w:rPr>
          <w:b/>
          <w:bCs/>
          <w:i/>
          <w:iCs/>
          <w:smallCaps/>
          <w:color w:val="000000"/>
          <w:szCs w:val="20"/>
        </w:rPr>
        <w:t>I.</w:t>
        <w:tab/>
        <w:t>Focus on consumers</w:t>
      </w:r>
    </w:p>
    <w:p>
      <w:pPr>
        <w:pStyle w:val="Normal"/>
        <w:rPr>
          <w:b/>
          <w:bCs/>
          <w:i/>
          <w:i/>
          <w:iCs/>
          <w:smallCaps/>
          <w:color w:val="000000"/>
          <w:sz w:val="20"/>
          <w:szCs w:val="14"/>
        </w:rPr>
      </w:pPr>
      <w:r>
        <w:rPr>
          <w:b/>
          <w:bCs/>
          <w:i/>
          <w:iCs/>
          <w:smallCaps/>
          <w:color w:val="000000"/>
          <w:sz w:val="20"/>
          <w:szCs w:val="14"/>
        </w:rPr>
      </w:r>
    </w:p>
    <w:p>
      <w:pPr>
        <w:pStyle w:val="Normal"/>
        <w:numPr>
          <w:ilvl w:val="0"/>
          <w:numId w:val="22"/>
        </w:numPr>
        <w:tabs>
          <w:tab w:val="clear" w:pos="720"/>
        </w:tabs>
        <w:rPr>
          <w:color w:val="000000"/>
          <w:sz w:val="20"/>
          <w:szCs w:val="14"/>
        </w:rPr>
      </w:pPr>
      <w:r>
        <w:rPr>
          <w:color w:val="000000"/>
          <w:sz w:val="20"/>
          <w:szCs w:val="14"/>
        </w:rPr>
        <w:t>The deregulation plan that California embarked upon in 1998 is broken and must be fixed.</w:t>
      </w:r>
    </w:p>
    <w:p>
      <w:pPr>
        <w:pStyle w:val="Normal"/>
        <w:numPr>
          <w:ilvl w:val="0"/>
          <w:numId w:val="22"/>
        </w:numPr>
        <w:tabs>
          <w:tab w:val="clear" w:pos="720"/>
        </w:tabs>
        <w:rPr>
          <w:color w:val="000000"/>
          <w:sz w:val="20"/>
          <w:szCs w:val="14"/>
        </w:rPr>
      </w:pPr>
      <w:r>
        <w:rPr>
          <w:color w:val="000000"/>
          <w:sz w:val="20"/>
          <w:szCs w:val="14"/>
        </w:rPr>
        <w:t>It is tempting to spend time ascribing blame for past mistakes—and there’s plenty to go around.</w:t>
      </w:r>
    </w:p>
    <w:p>
      <w:pPr>
        <w:pStyle w:val="Normal"/>
        <w:numPr>
          <w:ilvl w:val="0"/>
          <w:numId w:val="22"/>
        </w:numPr>
        <w:tabs>
          <w:tab w:val="clear" w:pos="720"/>
        </w:tabs>
        <w:rPr>
          <w:color w:val="000000"/>
          <w:sz w:val="20"/>
          <w:szCs w:val="14"/>
        </w:rPr>
      </w:pPr>
      <w:r>
        <w:rPr>
          <w:color w:val="000000"/>
          <w:sz w:val="20"/>
          <w:szCs w:val="14"/>
        </w:rPr>
        <w:t>But a dependable supply of electricity is critical to the well-being of California’s businesses and families</w:t>
      </w:r>
    </w:p>
    <w:p>
      <w:pPr>
        <w:pStyle w:val="Normal"/>
        <w:numPr>
          <w:ilvl w:val="0"/>
          <w:numId w:val="22"/>
        </w:numPr>
        <w:tabs>
          <w:tab w:val="clear" w:pos="720"/>
        </w:tabs>
        <w:rPr>
          <w:color w:val="000000"/>
          <w:sz w:val="20"/>
          <w:szCs w:val="14"/>
        </w:rPr>
      </w:pPr>
      <w:r>
        <w:rPr>
          <w:color w:val="000000"/>
          <w:sz w:val="20"/>
          <w:szCs w:val="14"/>
        </w:rPr>
        <w:t xml:space="preserve">California must therefore focus its time and energy on finding solutions. </w:t>
      </w:r>
    </w:p>
    <w:p>
      <w:pPr>
        <w:pStyle w:val="Normal"/>
        <w:rPr>
          <w:color w:val="000000"/>
          <w:sz w:val="20"/>
          <w:szCs w:val="14"/>
        </w:rPr>
      </w:pPr>
      <w:r>
        <w:rPr>
          <w:color w:val="000000"/>
          <w:sz w:val="20"/>
          <w:szCs w:val="14"/>
        </w:rPr>
      </w:r>
    </w:p>
    <w:p>
      <w:pPr>
        <w:pStyle w:val="Normal"/>
        <w:rPr>
          <w:b/>
          <w:bCs/>
          <w:color w:val="000000"/>
          <w:sz w:val="20"/>
          <w:szCs w:val="14"/>
        </w:rPr>
      </w:pPr>
      <w:r>
        <w:rPr>
          <w:b/>
          <w:bCs/>
          <w:color w:val="000000"/>
          <w:sz w:val="20"/>
          <w:szCs w:val="14"/>
        </w:rPr>
        <w:t>Solutions must address three challenges facing California’s energy industry:</w:t>
      </w:r>
    </w:p>
    <w:p>
      <w:pPr>
        <w:pStyle w:val="Normal"/>
        <w:numPr>
          <w:ilvl w:val="0"/>
          <w:numId w:val="27"/>
        </w:numPr>
        <w:tabs>
          <w:tab w:val="clear" w:pos="720"/>
        </w:tabs>
        <w:ind w:hanging="360" w:start="360" w:end="0"/>
        <w:rPr>
          <w:i/>
          <w:i/>
          <w:iCs/>
          <w:sz w:val="20"/>
        </w:rPr>
      </w:pPr>
      <w:r>
        <w:rPr>
          <w:b/>
          <w:bCs/>
          <w:i/>
          <w:iCs/>
          <w:color w:val="000000"/>
          <w:sz w:val="20"/>
          <w:szCs w:val="14"/>
        </w:rPr>
        <w:t>Maintaining a reliable electric distribution network</w:t>
      </w:r>
      <w:r>
        <w:rPr>
          <w:i/>
          <w:iCs/>
          <w:color w:val="000000"/>
          <w:sz w:val="20"/>
          <w:szCs w:val="14"/>
        </w:rPr>
        <w:t>—C</w:t>
      </w:r>
      <w:r>
        <w:rPr>
          <w:i/>
          <w:iCs/>
          <w:sz w:val="20"/>
        </w:rPr>
        <w:t>alifornia must ensure that it can deliver power supplies to every family and business that needs it, when they need it</w:t>
      </w:r>
    </w:p>
    <w:p>
      <w:pPr>
        <w:pStyle w:val="Normal"/>
        <w:rPr>
          <w:i/>
          <w:i/>
          <w:iCs/>
          <w:sz w:val="20"/>
        </w:rPr>
      </w:pPr>
      <w:r>
        <w:rPr>
          <w:i/>
          <w:iCs/>
          <w:sz w:val="20"/>
        </w:rPr>
      </w:r>
    </w:p>
    <w:p>
      <w:pPr>
        <w:pStyle w:val="Normal"/>
        <w:numPr>
          <w:ilvl w:val="0"/>
          <w:numId w:val="4"/>
        </w:numPr>
        <w:rPr>
          <w:sz w:val="20"/>
        </w:rPr>
      </w:pPr>
      <w:r>
        <w:rPr>
          <w:sz w:val="20"/>
        </w:rPr>
        <w:t>Increasing California’s supply of electricity won’t help without the basic infrastructure necessary to deliver it</w:t>
      </w:r>
    </w:p>
    <w:p>
      <w:pPr>
        <w:pStyle w:val="Normal"/>
        <w:numPr>
          <w:ilvl w:val="0"/>
          <w:numId w:val="4"/>
        </w:numPr>
        <w:rPr>
          <w:sz w:val="20"/>
        </w:rPr>
      </w:pPr>
      <w:r>
        <w:rPr>
          <w:sz w:val="20"/>
        </w:rPr>
        <w:t>Currently, California’s utilities provide the vital transportation network—the electric highway—needed to deliver power throughout the state</w:t>
      </w:r>
    </w:p>
    <w:p>
      <w:pPr>
        <w:pStyle w:val="Normal"/>
        <w:numPr>
          <w:ilvl w:val="0"/>
          <w:numId w:val="4"/>
        </w:numPr>
        <w:rPr>
          <w:sz w:val="20"/>
        </w:rPr>
      </w:pPr>
      <w:r>
        <w:rPr>
          <w:sz w:val="20"/>
        </w:rPr>
        <w:t>California must therefore ensure that the state’s electric utilities have the financial resources necessary to maintain and operate the state’s power grid safely and efficiently</w:t>
      </w:r>
    </w:p>
    <w:p>
      <w:pPr>
        <w:pStyle w:val="Normal"/>
        <w:numPr>
          <w:ilvl w:val="0"/>
          <w:numId w:val="4"/>
        </w:numPr>
        <w:rPr>
          <w:sz w:val="20"/>
        </w:rPr>
      </w:pPr>
      <w:r>
        <w:rPr>
          <w:sz w:val="20"/>
        </w:rPr>
        <w:t>By modestly increasing electric rates, the California Public Utilities Commission can provide the utilities with the financial resources necessary to operate and continue to buy power for its customers</w:t>
      </w:r>
    </w:p>
    <w:p>
      <w:pPr>
        <w:pStyle w:val="Normal"/>
        <w:numPr>
          <w:ilvl w:val="0"/>
          <w:numId w:val="4"/>
        </w:numPr>
        <w:rPr>
          <w:sz w:val="20"/>
        </w:rPr>
      </w:pPr>
      <w:r>
        <w:rPr>
          <w:sz w:val="20"/>
        </w:rPr>
        <w:t>Prior to any increase, utility customers were paying prices that were 10 percent less than what they paid in 1996</w:t>
      </w:r>
    </w:p>
    <w:p>
      <w:pPr>
        <w:pStyle w:val="Normal"/>
        <w:numPr>
          <w:ilvl w:val="0"/>
          <w:numId w:val="4"/>
        </w:numPr>
        <w:rPr>
          <w:sz w:val="20"/>
        </w:rPr>
      </w:pPr>
      <w:r>
        <w:rPr>
          <w:sz w:val="20"/>
        </w:rPr>
        <w:t>With an increase allowed by the California Public Utilities Commission, consumers would pay only slightly more than they did in 1996 (assuming a 15% rate increase)</w:t>
      </w:r>
    </w:p>
    <w:p>
      <w:pPr>
        <w:pStyle w:val="Normal"/>
        <w:numPr>
          <w:ilvl w:val="0"/>
          <w:numId w:val="4"/>
        </w:numPr>
        <w:tabs>
          <w:tab w:val="clear" w:pos="720"/>
        </w:tabs>
        <w:rPr>
          <w:sz w:val="20"/>
        </w:rPr>
      </w:pPr>
      <w:r>
        <w:rPr>
          <w:sz w:val="20"/>
        </w:rPr>
        <w:t>Though prices would increase modestly, they would remain frozen, insulating consumers from near-term run-ups in wholesale prices</w:t>
      </w:r>
    </w:p>
    <w:p>
      <w:pPr>
        <w:pStyle w:val="Normal"/>
        <w:numPr>
          <w:ilvl w:val="0"/>
          <w:numId w:val="4"/>
        </w:numPr>
        <w:rPr>
          <w:sz w:val="20"/>
        </w:rPr>
      </w:pPr>
      <w:r>
        <w:rPr>
          <w:sz w:val="20"/>
        </w:rPr>
        <w:t>Increasing prices is never popular, and this increase wouldn’t be taking place if it weren’t absolutely necessary</w:t>
      </w:r>
    </w:p>
    <w:p>
      <w:pPr>
        <w:pStyle w:val="Normal"/>
        <w:rPr>
          <w:sz w:val="20"/>
        </w:rPr>
      </w:pPr>
      <w:r>
        <w:rPr>
          <w:sz w:val="20"/>
        </w:rPr>
      </w:r>
    </w:p>
    <w:p>
      <w:pPr>
        <w:pStyle w:val="Normal"/>
        <w:numPr>
          <w:ilvl w:val="0"/>
          <w:numId w:val="16"/>
        </w:numPr>
        <w:rPr>
          <w:i/>
          <w:i/>
          <w:iCs/>
          <w:sz w:val="20"/>
        </w:rPr>
      </w:pPr>
      <w:r>
        <w:rPr>
          <w:b/>
          <w:bCs/>
          <w:i/>
          <w:iCs/>
          <w:color w:val="000000"/>
          <w:sz w:val="20"/>
          <w:szCs w:val="14"/>
        </w:rPr>
        <w:t>Increasing the supply of power plants in California</w:t>
      </w:r>
      <w:r>
        <w:rPr>
          <w:i/>
          <w:iCs/>
          <w:color w:val="000000"/>
          <w:sz w:val="20"/>
          <w:szCs w:val="14"/>
        </w:rPr>
        <w:t>--</w:t>
      </w:r>
      <w:r>
        <w:rPr>
          <w:i/>
          <w:iCs/>
          <w:sz w:val="20"/>
        </w:rPr>
        <w:t>Additional supplies are critical in the effort to lower prices and reduce the chance of service interruptions and blackouts</w:t>
      </w:r>
    </w:p>
    <w:p>
      <w:pPr>
        <w:pStyle w:val="Normal"/>
        <w:rPr>
          <w:i/>
          <w:i/>
          <w:iCs/>
          <w:sz w:val="20"/>
        </w:rPr>
      </w:pPr>
      <w:r>
        <w:rPr>
          <w:i/>
          <w:iCs/>
          <w:sz w:val="20"/>
        </w:rPr>
      </w:r>
    </w:p>
    <w:p>
      <w:pPr>
        <w:pStyle w:val="Normal"/>
        <w:numPr>
          <w:ilvl w:val="1"/>
          <w:numId w:val="16"/>
        </w:numPr>
        <w:tabs>
          <w:tab w:val="clear" w:pos="720"/>
        </w:tabs>
        <w:ind w:hanging="360" w:start="360" w:end="0"/>
        <w:rPr>
          <w:sz w:val="20"/>
        </w:rPr>
      </w:pPr>
      <w:r>
        <w:rPr>
          <w:sz w:val="20"/>
        </w:rPr>
        <w:t>The massive growth in California’s high-tech sector, and surging economic growth generally, have dramatically increased power consumption in the state</w:t>
      </w:r>
    </w:p>
    <w:p>
      <w:pPr>
        <w:pStyle w:val="Normal"/>
        <w:numPr>
          <w:ilvl w:val="1"/>
          <w:numId w:val="16"/>
        </w:numPr>
        <w:tabs>
          <w:tab w:val="clear" w:pos="720"/>
        </w:tabs>
        <w:ind w:hanging="360" w:start="360" w:end="0"/>
        <w:rPr>
          <w:sz w:val="20"/>
        </w:rPr>
      </w:pPr>
      <w:r>
        <w:rPr>
          <w:sz w:val="20"/>
        </w:rPr>
        <w:t>But development of new power plants in California has lagged far behind the growth in demand</w:t>
      </w:r>
    </w:p>
    <w:p>
      <w:pPr>
        <w:pStyle w:val="Normal"/>
        <w:numPr>
          <w:ilvl w:val="1"/>
          <w:numId w:val="16"/>
        </w:numPr>
        <w:tabs>
          <w:tab w:val="clear" w:pos="720"/>
        </w:tabs>
        <w:ind w:hanging="360" w:start="360" w:end="0"/>
        <w:rPr>
          <w:sz w:val="20"/>
        </w:rPr>
      </w:pPr>
      <w:r>
        <w:rPr>
          <w:sz w:val="20"/>
        </w:rPr>
        <w:t>California relies on imports from neighboring Western states to meet about one-fourth of its demand</w:t>
      </w:r>
    </w:p>
    <w:p>
      <w:pPr>
        <w:pStyle w:val="Normal"/>
        <w:numPr>
          <w:ilvl w:val="1"/>
          <w:numId w:val="16"/>
        </w:numPr>
        <w:tabs>
          <w:tab w:val="clear" w:pos="720"/>
        </w:tabs>
        <w:ind w:hanging="360" w:start="360" w:end="0"/>
        <w:rPr>
          <w:sz w:val="20"/>
        </w:rPr>
      </w:pPr>
      <w:r>
        <w:rPr>
          <w:sz w:val="20"/>
        </w:rPr>
        <w:t>But demand in those states has also increased significantly and neighboring state’s have less power to sell to California</w:t>
      </w:r>
    </w:p>
    <w:p>
      <w:pPr>
        <w:pStyle w:val="Normal"/>
        <w:numPr>
          <w:ilvl w:val="1"/>
          <w:numId w:val="16"/>
        </w:numPr>
        <w:tabs>
          <w:tab w:val="clear" w:pos="720"/>
        </w:tabs>
        <w:ind w:hanging="360" w:start="360" w:end="0"/>
        <w:rPr>
          <w:sz w:val="20"/>
        </w:rPr>
      </w:pPr>
      <w:r>
        <w:rPr>
          <w:sz w:val="20"/>
        </w:rPr>
        <w:t>As part of the California’s restructuring plan, the utilities sold a significant portion of their power plants, but were discouraged from entering into long-term contracts for power—that was a mistake</w:t>
      </w:r>
    </w:p>
    <w:p>
      <w:pPr>
        <w:pStyle w:val="Normal"/>
        <w:numPr>
          <w:ilvl w:val="1"/>
          <w:numId w:val="16"/>
        </w:numPr>
        <w:tabs>
          <w:tab w:val="clear" w:pos="720"/>
        </w:tabs>
        <w:ind w:hanging="360" w:start="360" w:end="0"/>
        <w:rPr>
          <w:sz w:val="20"/>
        </w:rPr>
      </w:pPr>
      <w:r>
        <w:rPr>
          <w:sz w:val="20"/>
        </w:rPr>
        <w:t>As a result, the utilities and their customers are exposed to high wholesale prices</w:t>
      </w:r>
    </w:p>
    <w:p>
      <w:pPr>
        <w:pStyle w:val="Normal"/>
        <w:numPr>
          <w:ilvl w:val="1"/>
          <w:numId w:val="16"/>
        </w:numPr>
        <w:tabs>
          <w:tab w:val="clear" w:pos="720"/>
        </w:tabs>
        <w:ind w:hanging="360" w:start="360" w:end="0"/>
        <w:rPr>
          <w:sz w:val="20"/>
        </w:rPr>
      </w:pPr>
      <w:r>
        <w:rPr>
          <w:sz w:val="20"/>
        </w:rPr>
        <w:t>In the long run, building additional power plants is the only certain way to bring prices down and maintain a reliable supply of power</w:t>
      </w:r>
    </w:p>
    <w:p>
      <w:pPr>
        <w:pStyle w:val="Normal"/>
        <w:numPr>
          <w:ilvl w:val="1"/>
          <w:numId w:val="16"/>
        </w:numPr>
        <w:tabs>
          <w:tab w:val="clear" w:pos="720"/>
        </w:tabs>
        <w:ind w:hanging="360" w:start="360" w:end="0"/>
        <w:rPr>
          <w:sz w:val="20"/>
        </w:rPr>
      </w:pPr>
      <w:r>
        <w:rPr>
          <w:sz w:val="20"/>
        </w:rPr>
        <w:t>California must therefore reverse course immediately and aggressively foster new power plant development in the state</w:t>
      </w:r>
    </w:p>
    <w:p>
      <w:pPr>
        <w:pStyle w:val="Normal"/>
        <w:numPr>
          <w:ilvl w:val="1"/>
          <w:numId w:val="16"/>
        </w:numPr>
        <w:tabs>
          <w:tab w:val="clear" w:pos="720"/>
        </w:tabs>
        <w:ind w:hanging="360" w:start="360" w:end="0"/>
        <w:rPr>
          <w:sz w:val="20"/>
        </w:rPr>
      </w:pPr>
      <w:r>
        <w:rPr>
          <w:sz w:val="20"/>
        </w:rPr>
        <w:t>The best way to achieve success is to set goals, and make firm commitments to meet those goals</w:t>
      </w:r>
    </w:p>
    <w:p>
      <w:pPr>
        <w:pStyle w:val="Normal"/>
        <w:numPr>
          <w:ilvl w:val="1"/>
          <w:numId w:val="16"/>
        </w:numPr>
        <w:tabs>
          <w:tab w:val="clear" w:pos="720"/>
        </w:tabs>
        <w:ind w:hanging="360" w:start="360" w:end="0"/>
        <w:rPr>
          <w:sz w:val="20"/>
        </w:rPr>
      </w:pPr>
      <w:r>
        <w:rPr>
          <w:sz w:val="20"/>
        </w:rPr>
        <w:t>By making a key component of California’s energy policy the approval of 15,000 MWs of new power plants by the end of 2002, California can take the first steps toward price stability and security of supply for the state’s consumers</w:t>
      </w:r>
    </w:p>
    <w:p>
      <w:pPr>
        <w:pStyle w:val="Normal"/>
        <w:numPr>
          <w:ilvl w:val="1"/>
          <w:numId w:val="16"/>
        </w:numPr>
        <w:tabs>
          <w:tab w:val="clear" w:pos="720"/>
        </w:tabs>
        <w:ind w:hanging="360" w:start="360" w:end="0"/>
        <w:rPr>
          <w:sz w:val="20"/>
        </w:rPr>
      </w:pPr>
      <w:r>
        <w:rPr>
          <w:sz w:val="20"/>
        </w:rPr>
        <w:t>More immediately, California can reduce consumer exposure to high wholesale prices by requiring the utilities to keep the power plants they still own and sell the power from those plants to consumers at cost; and all consumers should have equal access to that power</w:t>
      </w:r>
    </w:p>
    <w:p>
      <w:pPr>
        <w:pStyle w:val="Normal"/>
        <w:numPr>
          <w:ilvl w:val="1"/>
          <w:numId w:val="16"/>
        </w:numPr>
        <w:tabs>
          <w:tab w:val="clear" w:pos="720"/>
        </w:tabs>
        <w:ind w:hanging="360" w:start="360" w:end="0"/>
        <w:rPr>
          <w:sz w:val="20"/>
        </w:rPr>
      </w:pPr>
      <w:r>
        <w:rPr>
          <w:sz w:val="20"/>
        </w:rPr>
        <w:t>In addition, as one of California’s largest energy consumers and property owners, the State can help increase supply for consumers by accelerating the development of small scale generation at State-owned facilities</w:t>
      </w:r>
    </w:p>
    <w:p>
      <w:pPr>
        <w:pStyle w:val="Normal"/>
        <w:numPr>
          <w:ilvl w:val="1"/>
          <w:numId w:val="16"/>
        </w:numPr>
        <w:tabs>
          <w:tab w:val="clear" w:pos="720"/>
        </w:tabs>
        <w:ind w:hanging="360" w:start="360" w:end="0"/>
        <w:rPr>
          <w:sz w:val="20"/>
        </w:rPr>
      </w:pPr>
      <w:r>
        <w:rPr>
          <w:sz w:val="20"/>
        </w:rPr>
        <w:t xml:space="preserve">By constructing on-site generation, the State can simultaneously free up additional electricity supplies for families and businesses and lower the State’s cost of electricity use </w:t>
      </w:r>
    </w:p>
    <w:p>
      <w:pPr>
        <w:pStyle w:val="Normal"/>
        <w:numPr>
          <w:ilvl w:val="0"/>
          <w:numId w:val="25"/>
        </w:numPr>
        <w:rPr>
          <w:i/>
          <w:i/>
          <w:iCs/>
          <w:color w:val="000000"/>
          <w:sz w:val="20"/>
          <w:szCs w:val="14"/>
        </w:rPr>
      </w:pPr>
      <w:r>
        <w:rPr>
          <w:b/>
          <w:bCs/>
          <w:i/>
          <w:iCs/>
          <w:color w:val="000000"/>
          <w:sz w:val="20"/>
          <w:szCs w:val="14"/>
        </w:rPr>
        <w:t>Providing incentives to encourage businesses and families to conserve electricity</w:t>
      </w:r>
      <w:r>
        <w:rPr>
          <w:i/>
          <w:iCs/>
          <w:color w:val="000000"/>
          <w:sz w:val="20"/>
          <w:szCs w:val="14"/>
        </w:rPr>
        <w:t>—Being more judicious about electricity consumption can lower demand and further reduce the threat of shortages, particularly during those times when consumption is greatest.</w:t>
      </w:r>
    </w:p>
    <w:p>
      <w:pPr>
        <w:pStyle w:val="Normal"/>
        <w:rPr>
          <w:i/>
          <w:i/>
          <w:iCs/>
          <w:color w:val="000000"/>
          <w:sz w:val="20"/>
          <w:szCs w:val="14"/>
        </w:rPr>
      </w:pPr>
      <w:r>
        <w:rPr>
          <w:i/>
          <w:iCs/>
          <w:color w:val="000000"/>
          <w:sz w:val="20"/>
          <w:szCs w:val="14"/>
        </w:rPr>
      </w:r>
    </w:p>
    <w:p>
      <w:pPr>
        <w:pStyle w:val="Normal"/>
        <w:numPr>
          <w:ilvl w:val="0"/>
          <w:numId w:val="21"/>
        </w:numPr>
        <w:tabs>
          <w:tab w:val="clear" w:pos="720"/>
        </w:tabs>
        <w:ind w:hanging="360" w:start="360" w:end="0"/>
        <w:rPr>
          <w:color w:val="000000"/>
          <w:sz w:val="20"/>
          <w:szCs w:val="14"/>
        </w:rPr>
      </w:pPr>
      <w:r>
        <w:rPr>
          <w:color w:val="000000"/>
          <w:sz w:val="20"/>
          <w:szCs w:val="14"/>
        </w:rPr>
        <w:t>Energy conservation offers the quickest means of reducing California’s threat of service disruptions</w:t>
      </w:r>
    </w:p>
    <w:p>
      <w:pPr>
        <w:pStyle w:val="Normal"/>
        <w:numPr>
          <w:ilvl w:val="0"/>
          <w:numId w:val="21"/>
        </w:numPr>
        <w:tabs>
          <w:tab w:val="clear" w:pos="720"/>
        </w:tabs>
        <w:ind w:hanging="360" w:start="360" w:end="0"/>
        <w:rPr>
          <w:color w:val="000000"/>
          <w:sz w:val="20"/>
          <w:szCs w:val="14"/>
        </w:rPr>
      </w:pPr>
      <w:r>
        <w:rPr>
          <w:color w:val="000000"/>
          <w:sz w:val="20"/>
          <w:szCs w:val="14"/>
        </w:rPr>
        <w:t>As vital a service as electricity is, unrestrained consumption can strain the power supply system and threaten reliability, particularly during times of shortage</w:t>
      </w:r>
    </w:p>
    <w:p>
      <w:pPr>
        <w:pStyle w:val="Normal"/>
        <w:numPr>
          <w:ilvl w:val="0"/>
          <w:numId w:val="21"/>
        </w:numPr>
        <w:tabs>
          <w:tab w:val="clear" w:pos="720"/>
        </w:tabs>
        <w:ind w:hanging="360" w:start="360" w:end="0"/>
        <w:rPr>
          <w:color w:val="000000"/>
          <w:sz w:val="20"/>
          <w:szCs w:val="14"/>
        </w:rPr>
      </w:pPr>
      <w:r>
        <w:rPr>
          <w:color w:val="000000"/>
          <w:sz w:val="20"/>
          <w:szCs w:val="14"/>
        </w:rPr>
        <w:t>Consumers need much better information about the cost of producing electricity, and incentives to use that information in consumption decisions</w:t>
      </w:r>
    </w:p>
    <w:p>
      <w:pPr>
        <w:pStyle w:val="Normal"/>
        <w:numPr>
          <w:ilvl w:val="0"/>
          <w:numId w:val="21"/>
        </w:numPr>
        <w:tabs>
          <w:tab w:val="clear" w:pos="720"/>
        </w:tabs>
        <w:ind w:hanging="360" w:start="360" w:end="0"/>
        <w:rPr>
          <w:color w:val="000000"/>
          <w:sz w:val="20"/>
          <w:szCs w:val="14"/>
        </w:rPr>
      </w:pPr>
      <w:r>
        <w:rPr>
          <w:color w:val="000000"/>
          <w:sz w:val="20"/>
          <w:szCs w:val="14"/>
        </w:rPr>
        <w:t>Armed with information and incentives, California consumers can use energy conservation to build “virtual” power plants by conserving electricity</w:t>
      </w:r>
    </w:p>
    <w:p>
      <w:pPr>
        <w:pStyle w:val="Normal"/>
        <w:numPr>
          <w:ilvl w:val="0"/>
          <w:numId w:val="21"/>
        </w:numPr>
        <w:tabs>
          <w:tab w:val="clear" w:pos="720"/>
        </w:tabs>
        <w:ind w:hanging="360" w:start="360" w:end="0"/>
        <w:rPr>
          <w:color w:val="000000"/>
          <w:sz w:val="20"/>
          <w:szCs w:val="14"/>
        </w:rPr>
      </w:pPr>
      <w:r>
        <w:rPr>
          <w:color w:val="000000"/>
          <w:sz w:val="20"/>
          <w:szCs w:val="14"/>
        </w:rPr>
        <w:t>Through conservation, consumers free-up—in effect, “produce”—electricity for use by others</w:t>
      </w:r>
    </w:p>
    <w:p>
      <w:pPr>
        <w:pStyle w:val="Normal"/>
        <w:numPr>
          <w:ilvl w:val="0"/>
          <w:numId w:val="21"/>
        </w:numPr>
        <w:tabs>
          <w:tab w:val="clear" w:pos="720"/>
        </w:tabs>
        <w:ind w:hanging="360" w:start="360" w:end="0"/>
        <w:rPr>
          <w:color w:val="000000"/>
          <w:sz w:val="20"/>
          <w:szCs w:val="14"/>
        </w:rPr>
      </w:pPr>
      <w:r>
        <w:rPr>
          <w:color w:val="000000"/>
          <w:sz w:val="20"/>
          <w:szCs w:val="14"/>
        </w:rPr>
        <w:t>In essence, every kilowatt-hour of electricity saved is an additional kilowatt-hour of electricity available to California’s families and businesses</w:t>
      </w:r>
    </w:p>
    <w:p>
      <w:pPr>
        <w:pStyle w:val="Normal"/>
        <w:numPr>
          <w:ilvl w:val="0"/>
          <w:numId w:val="21"/>
        </w:numPr>
        <w:tabs>
          <w:tab w:val="clear" w:pos="720"/>
        </w:tabs>
        <w:ind w:hanging="360" w:start="360" w:end="0"/>
        <w:rPr>
          <w:color w:val="000000"/>
          <w:sz w:val="20"/>
          <w:szCs w:val="14"/>
        </w:rPr>
      </w:pPr>
      <w:r>
        <w:rPr>
          <w:color w:val="000000"/>
          <w:sz w:val="20"/>
          <w:szCs w:val="14"/>
        </w:rPr>
        <w:t>In the same way that consumers pay for electricity provided by power plants, California should compensate consumers who provide electricity through conservation and other demand-reducing activities</w:t>
      </w:r>
    </w:p>
    <w:p>
      <w:pPr>
        <w:pStyle w:val="Normal"/>
        <w:numPr>
          <w:ilvl w:val="0"/>
          <w:numId w:val="21"/>
        </w:numPr>
        <w:tabs>
          <w:tab w:val="clear" w:pos="720"/>
        </w:tabs>
        <w:ind w:hanging="360" w:start="360" w:end="0"/>
        <w:rPr>
          <w:color w:val="000000"/>
          <w:sz w:val="20"/>
          <w:szCs w:val="14"/>
        </w:rPr>
      </w:pPr>
      <w:r>
        <w:rPr>
          <w:color w:val="000000"/>
          <w:sz w:val="20"/>
          <w:szCs w:val="14"/>
        </w:rPr>
        <w:t>California should begin an aggressive program of financial incentives designed to encourage all consumers—small and large alike—to conserve electricity</w:t>
      </w:r>
    </w:p>
    <w:p>
      <w:pPr>
        <w:pStyle w:val="Normal"/>
        <w:numPr>
          <w:ilvl w:val="0"/>
          <w:numId w:val="21"/>
        </w:numPr>
        <w:tabs>
          <w:tab w:val="clear" w:pos="720"/>
        </w:tabs>
        <w:ind w:hanging="360" w:start="360" w:end="0"/>
        <w:rPr>
          <w:color w:val="000000"/>
          <w:sz w:val="20"/>
          <w:szCs w:val="14"/>
        </w:rPr>
      </w:pPr>
      <w:r>
        <w:rPr>
          <w:color w:val="000000"/>
          <w:sz w:val="20"/>
          <w:szCs w:val="14"/>
        </w:rPr>
        <w:t>California should target the incentives to conserve electricity when demand is highest</w:t>
      </w:r>
    </w:p>
    <w:p>
      <w:pPr>
        <w:pStyle w:val="Normal"/>
        <w:numPr>
          <w:ilvl w:val="0"/>
          <w:numId w:val="21"/>
        </w:numPr>
        <w:tabs>
          <w:tab w:val="clear" w:pos="720"/>
        </w:tabs>
        <w:ind w:hanging="360" w:start="360" w:end="0"/>
        <w:rPr>
          <w:color w:val="000000"/>
          <w:sz w:val="20"/>
          <w:szCs w:val="14"/>
        </w:rPr>
      </w:pPr>
      <w:r>
        <w:rPr>
          <w:color w:val="000000"/>
          <w:sz w:val="20"/>
          <w:szCs w:val="14"/>
        </w:rPr>
        <w:t>The payoffs to consumers of an incentive-based conservation program are significant:</w:t>
      </w:r>
    </w:p>
    <w:p>
      <w:pPr>
        <w:pStyle w:val="Normal"/>
        <w:numPr>
          <w:ilvl w:val="1"/>
          <w:numId w:val="28"/>
        </w:numPr>
        <w:rPr>
          <w:color w:val="000000"/>
          <w:sz w:val="20"/>
          <w:szCs w:val="14"/>
        </w:rPr>
      </w:pPr>
      <w:r>
        <w:rPr>
          <w:color w:val="000000"/>
          <w:sz w:val="20"/>
          <w:szCs w:val="14"/>
        </w:rPr>
        <w:t>Reduced threat of service interruptions—and the high costs that accompany them—during periods of high demand</w:t>
      </w:r>
    </w:p>
    <w:p>
      <w:pPr>
        <w:pStyle w:val="Normal"/>
        <w:numPr>
          <w:ilvl w:val="1"/>
          <w:numId w:val="28"/>
        </w:numPr>
        <w:rPr>
          <w:color w:val="000000"/>
          <w:sz w:val="20"/>
          <w:szCs w:val="14"/>
        </w:rPr>
      </w:pPr>
      <w:r>
        <w:rPr>
          <w:color w:val="000000"/>
          <w:sz w:val="20"/>
          <w:szCs w:val="14"/>
        </w:rPr>
        <w:t>Downward pressure on wholesale prices as conservation reduces demand</w:t>
      </w:r>
    </w:p>
    <w:p>
      <w:pPr>
        <w:pStyle w:val="Normal"/>
        <w:numPr>
          <w:ilvl w:val="1"/>
          <w:numId w:val="28"/>
        </w:numPr>
        <w:rPr>
          <w:color w:val="000000"/>
          <w:sz w:val="20"/>
          <w:szCs w:val="14"/>
        </w:rPr>
      </w:pPr>
      <w:r>
        <w:rPr>
          <w:color w:val="000000"/>
          <w:sz w:val="20"/>
          <w:szCs w:val="14"/>
        </w:rPr>
        <w:t>Since the cost of “producing” electricity through conservation can be lower than the cost of generation, California’s overall bill for electricity could be reduced</w:t>
      </w:r>
    </w:p>
    <w:p>
      <w:pPr>
        <w:pStyle w:val="Normal"/>
        <w:numPr>
          <w:ilvl w:val="1"/>
          <w:numId w:val="28"/>
        </w:numPr>
        <w:rPr>
          <w:color w:val="000000"/>
          <w:sz w:val="20"/>
          <w:szCs w:val="14"/>
        </w:rPr>
      </w:pPr>
      <w:r>
        <w:rPr>
          <w:color w:val="000000"/>
          <w:sz w:val="20"/>
          <w:szCs w:val="14"/>
        </w:rPr>
        <w:t>By reducing the amount of electricity that utilities must purchase for customers, conservation can improve the utilities’ financial position and their ability to operate and maintain California’s electric distribution network</w:t>
      </w:r>
      <w:r>
        <w:br w:type="page"/>
      </w:r>
    </w:p>
    <w:p>
      <w:pPr>
        <w:pStyle w:val="Normal"/>
        <w:ind w:start="360" w:end="0"/>
        <w:jc w:val="center"/>
        <w:rPr>
          <w:b/>
          <w:bCs/>
          <w:i/>
          <w:i/>
          <w:iCs/>
          <w:smallCaps/>
          <w:color w:val="000000"/>
          <w:szCs w:val="20"/>
        </w:rPr>
      </w:pPr>
      <w:r>
        <w:rPr>
          <w:b/>
          <w:bCs/>
          <w:i/>
          <w:iCs/>
          <w:smallCaps/>
          <w:color w:val="000000"/>
          <w:szCs w:val="14"/>
        </w:rPr>
        <w:t>II.</w:t>
        <w:tab/>
        <w:t>The Need for a Diverse Network of Information and Expertise</w:t>
      </w:r>
    </w:p>
    <w:p>
      <w:pPr>
        <w:pStyle w:val="Normal"/>
        <w:keepLines/>
        <w:autoSpaceDE w:val="false"/>
        <w:spacing w:lineRule="atLeast" w:line="240"/>
        <w:rPr>
          <w:b/>
          <w:bCs/>
          <w:i/>
          <w:i/>
          <w:iCs/>
          <w:smallCaps/>
          <w:color w:val="000000"/>
          <w:sz w:val="20"/>
          <w:szCs w:val="20"/>
        </w:rPr>
      </w:pPr>
      <w:r>
        <w:rPr>
          <w:b/>
          <w:bCs/>
          <w:i/>
          <w:iCs/>
          <w:smallCaps/>
          <w:color w:val="000000"/>
          <w:sz w:val="20"/>
          <w:szCs w:val="20"/>
        </w:rPr>
      </w:r>
    </w:p>
    <w:p>
      <w:pPr>
        <w:pStyle w:val="Normal"/>
        <w:keepLines/>
        <w:numPr>
          <w:ilvl w:val="0"/>
          <w:numId w:val="13"/>
        </w:numPr>
        <w:tabs>
          <w:tab w:val="clear" w:pos="720"/>
        </w:tabs>
        <w:autoSpaceDE w:val="false"/>
        <w:spacing w:lineRule="atLeast" w:line="240"/>
        <w:rPr>
          <w:color w:val="000000"/>
          <w:sz w:val="20"/>
          <w:szCs w:val="20"/>
        </w:rPr>
      </w:pPr>
      <w:r>
        <w:rPr>
          <w:color w:val="000000"/>
          <w:sz w:val="20"/>
          <w:szCs w:val="20"/>
        </w:rPr>
        <w:t>Understandably, the debate over how best to resolve California’s energy crisis has tended to occur in politically-charged forums focused more on advocacy and public relations than on information gathering, analysis and problem-solving</w:t>
      </w:r>
    </w:p>
    <w:p>
      <w:pPr>
        <w:pStyle w:val="Normal"/>
        <w:keepLines/>
        <w:numPr>
          <w:ilvl w:val="0"/>
          <w:numId w:val="13"/>
        </w:numPr>
        <w:tabs>
          <w:tab w:val="clear" w:pos="720"/>
        </w:tabs>
        <w:autoSpaceDE w:val="false"/>
        <w:spacing w:lineRule="atLeast" w:line="240"/>
        <w:rPr>
          <w:color w:val="000000"/>
          <w:sz w:val="20"/>
          <w:szCs w:val="20"/>
        </w:rPr>
      </w:pPr>
      <w:r>
        <w:rPr>
          <w:color w:val="000000"/>
          <w:sz w:val="20"/>
          <w:szCs w:val="20"/>
        </w:rPr>
        <w:t>The utilities credit crunch has plunged California into a “crisis mode” that frustrates deliberate, methodical decision making</w:t>
      </w:r>
    </w:p>
    <w:p>
      <w:pPr>
        <w:pStyle w:val="Normal"/>
        <w:keepLines/>
        <w:numPr>
          <w:ilvl w:val="0"/>
          <w:numId w:val="13"/>
        </w:numPr>
        <w:tabs>
          <w:tab w:val="clear" w:pos="720"/>
        </w:tabs>
        <w:autoSpaceDE w:val="false"/>
        <w:spacing w:lineRule="atLeast" w:line="240"/>
        <w:rPr>
          <w:color w:val="000000"/>
          <w:sz w:val="20"/>
          <w:szCs w:val="20"/>
        </w:rPr>
      </w:pPr>
      <w:r>
        <w:rPr>
          <w:color w:val="000000"/>
          <w:sz w:val="20"/>
          <w:szCs w:val="20"/>
        </w:rPr>
        <w:t>The utilities suggest that California must immediately address the entire array of extremely complex issues raised by California’s restructuring law, AB 1890—that would be a serious mistake</w:t>
      </w:r>
    </w:p>
    <w:p>
      <w:pPr>
        <w:pStyle w:val="Normal"/>
        <w:keepLines/>
        <w:numPr>
          <w:ilvl w:val="0"/>
          <w:numId w:val="13"/>
        </w:numPr>
        <w:tabs>
          <w:tab w:val="clear" w:pos="720"/>
        </w:tabs>
        <w:autoSpaceDE w:val="false"/>
        <w:spacing w:lineRule="atLeast" w:line="240"/>
        <w:rPr>
          <w:color w:val="000000"/>
          <w:sz w:val="20"/>
          <w:szCs w:val="20"/>
        </w:rPr>
      </w:pPr>
      <w:r>
        <w:rPr>
          <w:color w:val="000000"/>
          <w:sz w:val="20"/>
          <w:szCs w:val="20"/>
        </w:rPr>
        <w:t>California should resolve the immediate problem—the utilities’ credit crunch—and then take a more measured approach to developing, and deciding from among, a broader set of comprehensive options</w:t>
      </w:r>
    </w:p>
    <w:p>
      <w:pPr>
        <w:pStyle w:val="Normal"/>
        <w:keepLines/>
        <w:numPr>
          <w:ilvl w:val="0"/>
          <w:numId w:val="13"/>
        </w:numPr>
        <w:tabs>
          <w:tab w:val="clear" w:pos="720"/>
        </w:tabs>
        <w:autoSpaceDE w:val="false"/>
        <w:spacing w:lineRule="atLeast" w:line="240"/>
        <w:rPr>
          <w:color w:val="000000"/>
          <w:sz w:val="20"/>
          <w:szCs w:val="20"/>
        </w:rPr>
      </w:pPr>
      <w:r>
        <w:rPr>
          <w:color w:val="000000"/>
          <w:sz w:val="20"/>
          <w:szCs w:val="20"/>
        </w:rPr>
        <w:t>The Governor and his staff could benefit significantly from a diverse, less advocacy-oriented network of experts who can provide information and analysis on key issues</w:t>
      </w:r>
    </w:p>
    <w:p>
      <w:pPr>
        <w:pStyle w:val="Normal"/>
        <w:numPr>
          <w:ilvl w:val="0"/>
          <w:numId w:val="13"/>
        </w:numPr>
        <w:tabs>
          <w:tab w:val="clear" w:pos="720"/>
        </w:tabs>
        <w:rPr/>
      </w:pPr>
      <w:r>
        <w:rPr>
          <w:color w:val="000000"/>
          <w:sz w:val="20"/>
          <w:szCs w:val="14"/>
        </w:rPr>
        <w:t>The Governor should consider the significant pool of talent and expertise within the UC/CSU system in the effort to expand its network of experts</w:t>
      </w:r>
    </w:p>
    <w:p>
      <w:pPr>
        <w:pStyle w:val="Normal"/>
        <w:numPr>
          <w:ilvl w:val="0"/>
          <w:numId w:val="13"/>
        </w:numPr>
        <w:tabs>
          <w:tab w:val="clear" w:pos="720"/>
        </w:tabs>
        <w:rPr/>
      </w:pPr>
      <w:r>
        <w:rPr>
          <w:color w:val="000000"/>
          <w:sz w:val="20"/>
          <w:szCs w:val="14"/>
        </w:rPr>
        <w:t>The following three issues should receive particular attention:  electricity procurement, utility ratemaking and accounting practices, and market structure.</w:t>
      </w:r>
    </w:p>
    <w:p>
      <w:pPr>
        <w:pStyle w:val="Normal"/>
        <w:keepLines/>
        <w:autoSpaceDE w:val="false"/>
        <w:spacing w:lineRule="atLeast" w:line="240"/>
        <w:rPr>
          <w:color w:val="000000"/>
          <w:sz w:val="20"/>
          <w:szCs w:val="20"/>
        </w:rPr>
      </w:pPr>
      <w:r>
        <w:rPr>
          <w:color w:val="000000"/>
          <w:sz w:val="20"/>
          <w:szCs w:val="20"/>
        </w:rPr>
      </w:r>
    </w:p>
    <w:p>
      <w:pPr>
        <w:pStyle w:val="Normal"/>
        <w:numPr>
          <w:ilvl w:val="0"/>
          <w:numId w:val="7"/>
        </w:numPr>
        <w:tabs>
          <w:tab w:val="clear" w:pos="720"/>
        </w:tabs>
        <w:ind w:hanging="360" w:start="360" w:end="0"/>
        <w:rPr>
          <w:b/>
          <w:bCs/>
          <w:i/>
          <w:i/>
          <w:iCs/>
          <w:color w:val="000000"/>
          <w:sz w:val="20"/>
          <w:szCs w:val="14"/>
        </w:rPr>
      </w:pPr>
      <w:r>
        <w:rPr>
          <w:b/>
          <w:bCs/>
          <w:i/>
          <w:iCs/>
          <w:color w:val="000000"/>
          <w:sz w:val="20"/>
          <w:szCs w:val="14"/>
        </w:rPr>
        <w:t>Utility procurement—California needs a “balanced portfolio” approach to procurement</w:t>
      </w:r>
    </w:p>
    <w:p>
      <w:pPr>
        <w:pStyle w:val="Normal"/>
        <w:numPr>
          <w:ilvl w:val="0"/>
          <w:numId w:val="6"/>
        </w:numPr>
        <w:tabs>
          <w:tab w:val="clear" w:pos="720"/>
        </w:tabs>
        <w:ind w:hanging="288" w:start="360" w:end="0"/>
        <w:rPr>
          <w:color w:val="000000"/>
          <w:sz w:val="20"/>
          <w:szCs w:val="14"/>
        </w:rPr>
      </w:pPr>
      <w:r>
        <w:rPr>
          <w:color w:val="000000"/>
          <w:sz w:val="20"/>
          <w:szCs w:val="14"/>
        </w:rPr>
        <w:t xml:space="preserve">California can draw (at least) two key lessons from its experience:  </w:t>
      </w:r>
    </w:p>
    <w:p>
      <w:pPr>
        <w:pStyle w:val="BodyTextIndent3"/>
        <w:numPr>
          <w:ilvl w:val="1"/>
          <w:numId w:val="8"/>
        </w:numPr>
        <w:tabs>
          <w:tab w:val="clear" w:pos="720"/>
        </w:tabs>
        <w:ind w:hanging="360" w:start="720" w:end="0"/>
        <w:rPr/>
      </w:pPr>
      <w:r>
        <w:rPr/>
        <w:t xml:space="preserve">Incentives that encourage or require the utility to rely on spot markets for electricity purchases will harm the economy, consumers and the utilities. </w:t>
      </w:r>
    </w:p>
    <w:p>
      <w:pPr>
        <w:pStyle w:val="Normal"/>
        <w:numPr>
          <w:ilvl w:val="1"/>
          <w:numId w:val="8"/>
        </w:numPr>
        <w:tabs>
          <w:tab w:val="clear" w:pos="720"/>
        </w:tabs>
        <w:ind w:hanging="360" w:start="720" w:end="0"/>
        <w:rPr>
          <w:color w:val="000000"/>
          <w:sz w:val="20"/>
          <w:szCs w:val="14"/>
        </w:rPr>
      </w:pPr>
      <w:r>
        <w:rPr>
          <w:color w:val="000000"/>
          <w:sz w:val="20"/>
          <w:szCs w:val="14"/>
        </w:rPr>
        <w:t>More generally, regulatory rules in both the gas and electric industries have traditionally provided the utilities with extremely weak incentives to procure efficiently on behalf of consumers, and probably always will.</w:t>
      </w:r>
    </w:p>
    <w:p>
      <w:pPr>
        <w:pStyle w:val="Normal"/>
        <w:numPr>
          <w:ilvl w:val="0"/>
          <w:numId w:val="6"/>
        </w:numPr>
        <w:tabs>
          <w:tab w:val="clear" w:pos="720"/>
        </w:tabs>
        <w:ind w:hanging="360" w:start="360" w:end="0"/>
        <w:rPr>
          <w:color w:val="000000"/>
          <w:sz w:val="20"/>
          <w:szCs w:val="14"/>
        </w:rPr>
      </w:pPr>
      <w:r>
        <w:rPr>
          <w:color w:val="000000"/>
          <w:sz w:val="20"/>
          <w:szCs w:val="14"/>
        </w:rPr>
        <w:t xml:space="preserve">In the effort to free California from its risky, spot market-oriented procurement strategy, the Governor and his staff could benefit from input offered by a broad group of industry and economic experts </w:t>
      </w:r>
    </w:p>
    <w:p>
      <w:pPr>
        <w:pStyle w:val="Normal"/>
        <w:numPr>
          <w:ilvl w:val="0"/>
          <w:numId w:val="6"/>
        </w:numPr>
        <w:tabs>
          <w:tab w:val="clear" w:pos="720"/>
        </w:tabs>
        <w:ind w:hanging="360" w:start="360" w:end="0"/>
        <w:rPr>
          <w:color w:val="000000"/>
          <w:sz w:val="20"/>
          <w:szCs w:val="14"/>
        </w:rPr>
      </w:pPr>
      <w:r>
        <w:rPr>
          <w:color w:val="000000"/>
          <w:sz w:val="20"/>
          <w:szCs w:val="14"/>
        </w:rPr>
        <w:t>Two specific issues that would benefit from additional information and expertise include:</w:t>
      </w:r>
    </w:p>
    <w:p>
      <w:pPr>
        <w:pStyle w:val="Normal"/>
        <w:numPr>
          <w:ilvl w:val="0"/>
          <w:numId w:val="2"/>
        </w:numPr>
        <w:rPr>
          <w:i/>
          <w:i/>
          <w:iCs/>
          <w:color w:val="000000"/>
          <w:sz w:val="20"/>
          <w:szCs w:val="14"/>
        </w:rPr>
      </w:pPr>
      <w:r>
        <w:rPr>
          <w:i/>
          <w:iCs/>
          <w:color w:val="000000"/>
          <w:sz w:val="20"/>
          <w:szCs w:val="14"/>
        </w:rPr>
        <w:t>To the extent that the utility remains the procurement agent for customers who have not switched providers, what financial incentives are needed to encourage the utility to buy electricity based on a balanced portfolio of sources?</w:t>
      </w:r>
    </w:p>
    <w:p>
      <w:pPr>
        <w:pStyle w:val="Normal"/>
        <w:numPr>
          <w:ilvl w:val="0"/>
          <w:numId w:val="2"/>
        </w:numPr>
        <w:rPr>
          <w:i/>
          <w:i/>
          <w:iCs/>
          <w:color w:val="000000"/>
          <w:sz w:val="20"/>
          <w:szCs w:val="14"/>
        </w:rPr>
      </w:pPr>
      <w:r>
        <w:rPr>
          <w:i/>
          <w:iCs/>
          <w:color w:val="000000"/>
          <w:sz w:val="20"/>
          <w:szCs w:val="14"/>
        </w:rPr>
        <w:t xml:space="preserve">Would the consumers and the utility be better off if the utility outsourced the procurement function to a third-party?  </w:t>
      </w:r>
    </w:p>
    <w:p>
      <w:pPr>
        <w:pStyle w:val="Normal"/>
        <w:ind w:start="720" w:end="0"/>
        <w:rPr>
          <w:color w:val="000000"/>
          <w:sz w:val="20"/>
          <w:szCs w:val="14"/>
        </w:rPr>
      </w:pPr>
      <w:r>
        <w:rPr>
          <w:color w:val="000000"/>
          <w:sz w:val="20"/>
          <w:szCs w:val="14"/>
        </w:rPr>
        <w:t>An increasing number of industry experts believe that outsourcing is preferable.  They point to the success of the US interstate gas pipeline system and California’s “noncore” gas market, in which customers procure their own gas supplies from the natural gas commodity markets.  The time is right for California to closely scrutinize this option.</w:t>
      </w:r>
    </w:p>
    <w:p>
      <w:pPr>
        <w:pStyle w:val="Normal"/>
        <w:rPr>
          <w:color w:val="000000"/>
          <w:sz w:val="20"/>
          <w:szCs w:val="14"/>
        </w:rPr>
      </w:pPr>
      <w:r>
        <w:rPr>
          <w:color w:val="000000"/>
          <w:sz w:val="20"/>
          <w:szCs w:val="14"/>
        </w:rPr>
      </w:r>
    </w:p>
    <w:p>
      <w:pPr>
        <w:pStyle w:val="Heading2"/>
        <w:numPr>
          <w:ilvl w:val="0"/>
          <w:numId w:val="11"/>
        </w:numPr>
        <w:tabs>
          <w:tab w:val="clear" w:pos="720"/>
        </w:tabs>
        <w:rPr>
          <w:b w:val="false"/>
          <w:bCs w:val="false"/>
          <w:i w:val="false"/>
          <w:i w:val="false"/>
          <w:iCs w:val="false"/>
        </w:rPr>
      </w:pPr>
      <w:r>
        <w:rPr/>
        <w:t>Attached is a suggested blueprint for establishing an informal advisory council on utility procurement</w:t>
      </w:r>
    </w:p>
    <w:p>
      <w:pPr>
        <w:pStyle w:val="Normal"/>
        <w:rPr>
          <w:b/>
          <w:bCs/>
          <w:i/>
          <w:i/>
          <w:iCs/>
        </w:rPr>
      </w:pPr>
      <w:r>
        <w:rPr>
          <w:b/>
          <w:bCs/>
          <w:i/>
          <w:iCs/>
        </w:rPr>
      </w:r>
    </w:p>
    <w:p>
      <w:pPr>
        <w:pStyle w:val="Normal"/>
        <w:numPr>
          <w:ilvl w:val="0"/>
          <w:numId w:val="7"/>
        </w:numPr>
        <w:tabs>
          <w:tab w:val="clear" w:pos="720"/>
        </w:tabs>
        <w:ind w:hanging="360" w:start="360" w:end="0"/>
        <w:rPr>
          <w:b/>
          <w:bCs/>
          <w:i/>
          <w:i/>
          <w:iCs/>
          <w:color w:val="000000"/>
          <w:sz w:val="20"/>
          <w:szCs w:val="14"/>
        </w:rPr>
      </w:pPr>
      <w:r>
        <w:rPr>
          <w:b/>
          <w:bCs/>
          <w:i/>
          <w:iCs/>
          <w:color w:val="000000"/>
          <w:sz w:val="20"/>
          <w:szCs w:val="14"/>
        </w:rPr>
        <w:t>Utility ratemaking and accounting practices</w:t>
      </w:r>
    </w:p>
    <w:p>
      <w:pPr>
        <w:pStyle w:val="Normal"/>
        <w:numPr>
          <w:ilvl w:val="1"/>
          <w:numId w:val="7"/>
        </w:numPr>
        <w:tabs>
          <w:tab w:val="clear" w:pos="720"/>
        </w:tabs>
        <w:ind w:hanging="288" w:start="360" w:end="0"/>
        <w:rPr>
          <w:color w:val="000000"/>
          <w:sz w:val="20"/>
          <w:szCs w:val="14"/>
        </w:rPr>
      </w:pPr>
      <w:r>
        <w:rPr>
          <w:color w:val="000000"/>
          <w:sz w:val="20"/>
          <w:szCs w:val="14"/>
        </w:rPr>
        <w:t>Utilities claim that AB 1890’s ratemaking requirements and regulatory accounting practices have pushed them to the brink of insolvency—but consumers disagree</w:t>
      </w:r>
    </w:p>
    <w:p>
      <w:pPr>
        <w:pStyle w:val="Normal"/>
        <w:numPr>
          <w:ilvl w:val="1"/>
          <w:numId w:val="7"/>
        </w:numPr>
        <w:tabs>
          <w:tab w:val="clear" w:pos="720"/>
        </w:tabs>
        <w:ind w:hanging="288" w:start="360" w:end="0"/>
        <w:rPr>
          <w:color w:val="000000"/>
          <w:sz w:val="20"/>
          <w:szCs w:val="14"/>
        </w:rPr>
      </w:pPr>
      <w:r>
        <w:rPr>
          <w:color w:val="000000"/>
          <w:sz w:val="20"/>
          <w:szCs w:val="14"/>
        </w:rPr>
        <w:t>The utilities’ competitors continue to point out the ways in which utility ratemaking and accounting rules pose significant impediments to consumer choice and to the success of the restructured electric market generally—but the utilities disagree</w:t>
      </w:r>
    </w:p>
    <w:p>
      <w:pPr>
        <w:pStyle w:val="Normal"/>
        <w:numPr>
          <w:ilvl w:val="1"/>
          <w:numId w:val="7"/>
        </w:numPr>
        <w:tabs>
          <w:tab w:val="clear" w:pos="720"/>
        </w:tabs>
        <w:ind w:hanging="288" w:start="360" w:end="0"/>
        <w:rPr>
          <w:color w:val="000000"/>
          <w:sz w:val="20"/>
          <w:szCs w:val="14"/>
        </w:rPr>
      </w:pPr>
      <w:r>
        <w:rPr>
          <w:color w:val="000000"/>
          <w:sz w:val="20"/>
          <w:szCs w:val="14"/>
        </w:rPr>
        <w:t>The issues are critical to making California’s restructured electric market work for everyone, but are extremely complex</w:t>
      </w:r>
    </w:p>
    <w:p>
      <w:pPr>
        <w:pStyle w:val="Normal"/>
        <w:numPr>
          <w:ilvl w:val="1"/>
          <w:numId w:val="19"/>
        </w:numPr>
        <w:tabs>
          <w:tab w:val="clear" w:pos="720"/>
        </w:tabs>
        <w:ind w:hanging="288" w:start="360" w:end="0"/>
        <w:rPr/>
      </w:pPr>
      <w:r>
        <w:rPr>
          <w:color w:val="000000"/>
          <w:sz w:val="20"/>
          <w:szCs w:val="14"/>
        </w:rPr>
        <w:t>The Governor and his staff would benefit from receiving informal input from outside experts on the effects of regulatory ratemaking and accounting on competition and the utilities’ financial position</w:t>
      </w:r>
      <w:r>
        <w:br w:type="page"/>
      </w:r>
    </w:p>
    <w:p>
      <w:pPr>
        <w:pStyle w:val="Normal"/>
        <w:numPr>
          <w:ilvl w:val="2"/>
          <w:numId w:val="19"/>
        </w:numPr>
        <w:tabs>
          <w:tab w:val="clear" w:pos="720"/>
        </w:tabs>
        <w:ind w:hanging="360" w:start="360" w:end="0"/>
        <w:rPr>
          <w:b/>
          <w:bCs/>
          <w:i/>
          <w:i/>
          <w:iCs/>
          <w:color w:val="000000"/>
          <w:sz w:val="20"/>
          <w:szCs w:val="14"/>
        </w:rPr>
      </w:pPr>
      <w:r>
        <w:rPr>
          <w:b/>
          <w:bCs/>
          <w:i/>
          <w:iCs/>
          <w:color w:val="000000"/>
          <w:sz w:val="20"/>
          <w:szCs w:val="14"/>
        </w:rPr>
        <w:t>Market structure</w:t>
      </w:r>
      <w:r>
        <w:rPr>
          <w:color w:val="000000"/>
          <w:sz w:val="20"/>
          <w:szCs w:val="14"/>
        </w:rPr>
        <w:t xml:space="preserve">  </w:t>
      </w:r>
    </w:p>
    <w:p>
      <w:pPr>
        <w:pStyle w:val="Normal"/>
        <w:numPr>
          <w:ilvl w:val="0"/>
          <w:numId w:val="17"/>
        </w:numPr>
        <w:tabs>
          <w:tab w:val="clear" w:pos="720"/>
        </w:tabs>
        <w:ind w:hanging="288" w:start="360" w:end="0"/>
        <w:rPr>
          <w:color w:val="000000"/>
          <w:sz w:val="20"/>
          <w:szCs w:val="14"/>
        </w:rPr>
      </w:pPr>
      <w:r>
        <w:rPr>
          <w:color w:val="000000"/>
          <w:sz w:val="20"/>
          <w:szCs w:val="14"/>
        </w:rPr>
        <w:t>Industry experts and economists have urged California to re-examine the unique “ISO/PX” wholesale market structure created by AB 1890</w:t>
      </w:r>
    </w:p>
    <w:p>
      <w:pPr>
        <w:pStyle w:val="Normal"/>
        <w:numPr>
          <w:ilvl w:val="0"/>
          <w:numId w:val="17"/>
        </w:numPr>
        <w:tabs>
          <w:tab w:val="clear" w:pos="720"/>
        </w:tabs>
        <w:ind w:hanging="288" w:start="360" w:end="0"/>
        <w:rPr>
          <w:color w:val="000000"/>
          <w:sz w:val="20"/>
          <w:szCs w:val="14"/>
        </w:rPr>
      </w:pPr>
      <w:r>
        <w:rPr>
          <w:color w:val="000000"/>
          <w:sz w:val="20"/>
          <w:szCs w:val="14"/>
        </w:rPr>
        <w:t>California based its structure on the “POOLCO” structure that the United Kingdom put in place when it restructured its electricity industry in the early 1990s</w:t>
      </w:r>
    </w:p>
    <w:p>
      <w:pPr>
        <w:pStyle w:val="Normal"/>
        <w:numPr>
          <w:ilvl w:val="0"/>
          <w:numId w:val="17"/>
        </w:numPr>
        <w:tabs>
          <w:tab w:val="clear" w:pos="720"/>
        </w:tabs>
        <w:ind w:hanging="288" w:start="360" w:end="0"/>
        <w:rPr>
          <w:color w:val="000000"/>
          <w:sz w:val="20"/>
          <w:szCs w:val="14"/>
        </w:rPr>
      </w:pPr>
      <w:r>
        <w:rPr>
          <w:color w:val="000000"/>
          <w:sz w:val="20"/>
          <w:szCs w:val="14"/>
        </w:rPr>
        <w:t>The UK experienced problems similar to the ones California is currently facing and has begun making the changes needed to make the wholesale market function more smoothly and efficiently</w:t>
      </w:r>
    </w:p>
    <w:p>
      <w:pPr>
        <w:pStyle w:val="Normal"/>
        <w:numPr>
          <w:ilvl w:val="0"/>
          <w:numId w:val="17"/>
        </w:numPr>
        <w:tabs>
          <w:tab w:val="clear" w:pos="720"/>
        </w:tabs>
        <w:ind w:hanging="288" w:start="360" w:end="0"/>
        <w:rPr>
          <w:color w:val="000000"/>
          <w:sz w:val="20"/>
          <w:szCs w:val="14"/>
        </w:rPr>
      </w:pPr>
      <w:r>
        <w:rPr>
          <w:color w:val="000000"/>
          <w:sz w:val="20"/>
          <w:szCs w:val="14"/>
        </w:rPr>
        <w:t>In addition to the UK, several other nations, including Norway, restructured their electric industries prior to California and structured the wholesale market very differently from the California “PX/ISO” model</w:t>
      </w:r>
    </w:p>
    <w:p>
      <w:pPr>
        <w:pStyle w:val="Normal"/>
        <w:numPr>
          <w:ilvl w:val="0"/>
          <w:numId w:val="17"/>
        </w:numPr>
        <w:tabs>
          <w:tab w:val="clear" w:pos="720"/>
        </w:tabs>
        <w:ind w:hanging="288" w:start="360" w:end="0"/>
        <w:rPr/>
      </w:pPr>
      <w:r>
        <w:rPr>
          <w:color w:val="000000"/>
          <w:sz w:val="20"/>
          <w:szCs w:val="14"/>
        </w:rPr>
        <w:t>The Governor and his staff would benefit from the experience of restructuring efforts that have taken place outside of California</w:t>
      </w:r>
    </w:p>
    <w:p>
      <w:pPr>
        <w:pStyle w:val="Normal"/>
        <w:numPr>
          <w:ilvl w:val="0"/>
          <w:numId w:val="17"/>
        </w:numPr>
        <w:tabs>
          <w:tab w:val="clear" w:pos="720"/>
        </w:tabs>
        <w:ind w:hanging="288" w:start="360" w:end="0"/>
        <w:rPr>
          <w:color w:val="000000"/>
          <w:sz w:val="20"/>
          <w:szCs w:val="14"/>
        </w:rPr>
      </w:pPr>
      <w:r>
        <w:rPr>
          <w:color w:val="000000"/>
          <w:sz w:val="20"/>
          <w:szCs w:val="14"/>
        </w:rPr>
        <w:t>We will provide you with additional information about Norway’s version of the ISO, “Nord Pool,” in a follow up memo</w:t>
      </w:r>
      <w:r>
        <w:br w:type="page"/>
      </w:r>
    </w:p>
    <w:p>
      <w:pPr>
        <w:pStyle w:val="Normal"/>
        <w:jc w:val="center"/>
        <w:rPr>
          <w:b/>
          <w:bCs/>
          <w:i/>
          <w:i/>
          <w:iCs/>
          <w:smallCaps/>
        </w:rPr>
      </w:pPr>
      <w:r>
        <w:rPr>
          <w:b/>
          <w:bCs/>
          <w:i/>
          <w:iCs/>
          <w:smallCaps/>
        </w:rPr>
        <w:t>III. Suggested Blueprint for an Informal Advisory Council</w:t>
      </w:r>
    </w:p>
    <w:p>
      <w:pPr>
        <w:pStyle w:val="Normal"/>
        <w:jc w:val="center"/>
        <w:rPr>
          <w:b/>
          <w:bCs/>
          <w:i/>
          <w:i/>
          <w:iCs/>
          <w:smallCaps/>
        </w:rPr>
      </w:pPr>
      <w:r>
        <w:rPr>
          <w:b/>
          <w:bCs/>
          <w:i/>
          <w:iCs/>
          <w:smallCaps/>
        </w:rPr>
        <w:t>on Electricity Purchasing Practices</w:t>
      </w:r>
    </w:p>
    <w:p>
      <w:pPr>
        <w:pStyle w:val="Normal"/>
        <w:jc w:val="center"/>
        <w:rPr>
          <w:b/>
          <w:bCs/>
          <w:i/>
          <w:i/>
          <w:iCs/>
          <w:smallCaps/>
          <w:sz w:val="20"/>
        </w:rPr>
      </w:pPr>
      <w:r>
        <w:rPr>
          <w:b/>
          <w:bCs/>
          <w:i/>
          <w:iCs/>
          <w:smallCaps/>
          <w:sz w:val="20"/>
        </w:rPr>
      </w:r>
    </w:p>
    <w:p>
      <w:pPr>
        <w:pStyle w:val="Heading2"/>
        <w:ind w:hanging="0" w:start="0"/>
        <w:rPr/>
      </w:pPr>
      <w:r>
        <w:rPr/>
        <w:t>Objectives</w:t>
      </w:r>
    </w:p>
    <w:p>
      <w:pPr>
        <w:pStyle w:val="Normal"/>
        <w:numPr>
          <w:ilvl w:val="1"/>
          <w:numId w:val="20"/>
        </w:numPr>
        <w:tabs>
          <w:tab w:val="clear" w:pos="720"/>
        </w:tabs>
        <w:ind w:hanging="288" w:start="360" w:end="0"/>
        <w:rPr>
          <w:sz w:val="20"/>
        </w:rPr>
      </w:pPr>
      <w:r>
        <w:rPr>
          <w:sz w:val="20"/>
        </w:rPr>
        <w:t xml:space="preserve">Convene a group of experts who don’t bring to the table the pitfalls that come with strict issue advocacy </w:t>
      </w:r>
    </w:p>
    <w:p>
      <w:pPr>
        <w:pStyle w:val="Normal"/>
        <w:numPr>
          <w:ilvl w:val="1"/>
          <w:numId w:val="20"/>
        </w:numPr>
        <w:tabs>
          <w:tab w:val="clear" w:pos="720"/>
        </w:tabs>
        <w:ind w:hanging="288" w:start="360" w:end="0"/>
        <w:rPr>
          <w:sz w:val="20"/>
        </w:rPr>
      </w:pPr>
      <w:r>
        <w:rPr>
          <w:sz w:val="20"/>
        </w:rPr>
        <w:t>Charter the council to deliver information, expertise and recommendations on:</w:t>
      </w:r>
    </w:p>
    <w:p>
      <w:pPr>
        <w:pStyle w:val="Normal"/>
        <w:numPr>
          <w:ilvl w:val="2"/>
          <w:numId w:val="20"/>
        </w:numPr>
        <w:tabs>
          <w:tab w:val="clear" w:pos="720"/>
        </w:tabs>
        <w:ind w:hanging="360" w:start="720" w:end="0"/>
        <w:rPr>
          <w:sz w:val="20"/>
        </w:rPr>
      </w:pPr>
      <w:r>
        <w:rPr>
          <w:sz w:val="20"/>
        </w:rPr>
        <w:t>How to move California away from an electricity procurement policy focused on volatile spot markets toward one based on a “balanced portfolio” approach to procurement</w:t>
      </w:r>
    </w:p>
    <w:p>
      <w:pPr>
        <w:pStyle w:val="Normal"/>
        <w:numPr>
          <w:ilvl w:val="2"/>
          <w:numId w:val="20"/>
        </w:numPr>
        <w:tabs>
          <w:tab w:val="clear" w:pos="720"/>
        </w:tabs>
        <w:ind w:hanging="360" w:start="720" w:end="0"/>
        <w:rPr>
          <w:sz w:val="20"/>
        </w:rPr>
      </w:pPr>
      <w:r>
        <w:rPr>
          <w:sz w:val="20"/>
        </w:rPr>
        <w:t>Whether California’s utilities should continue in the role of electricity procurement agent, or outsource procurement of the commodity to a third party better suited to provide that function</w:t>
      </w:r>
    </w:p>
    <w:p>
      <w:pPr>
        <w:pStyle w:val="Normal"/>
        <w:rPr>
          <w:sz w:val="20"/>
        </w:rPr>
      </w:pPr>
      <w:r>
        <w:rPr>
          <w:sz w:val="20"/>
        </w:rPr>
      </w:r>
    </w:p>
    <w:p>
      <w:pPr>
        <w:pStyle w:val="Heading2"/>
        <w:ind w:hanging="0" w:start="0"/>
        <w:rPr/>
      </w:pPr>
      <w:r>
        <w:rPr/>
        <w:t>Hazards to Avoid</w:t>
      </w:r>
    </w:p>
    <w:p>
      <w:pPr>
        <w:pStyle w:val="Normal"/>
        <w:numPr>
          <w:ilvl w:val="3"/>
          <w:numId w:val="20"/>
        </w:numPr>
        <w:tabs>
          <w:tab w:val="clear" w:pos="720"/>
        </w:tabs>
        <w:ind w:hanging="360" w:start="360" w:end="0"/>
        <w:rPr>
          <w:b/>
          <w:bCs/>
          <w:sz w:val="20"/>
        </w:rPr>
      </w:pPr>
      <w:r>
        <w:rPr>
          <w:b/>
          <w:bCs/>
          <w:sz w:val="20"/>
        </w:rPr>
        <w:t>Avoid replacing one failed regulatory framework with another</w:t>
      </w:r>
    </w:p>
    <w:p>
      <w:pPr>
        <w:pStyle w:val="Normal"/>
        <w:numPr>
          <w:ilvl w:val="1"/>
          <w:numId w:val="20"/>
        </w:numPr>
        <w:tabs>
          <w:tab w:val="clear" w:pos="720"/>
        </w:tabs>
        <w:ind w:hanging="288" w:start="360" w:end="0"/>
        <w:rPr>
          <w:sz w:val="20"/>
        </w:rPr>
      </w:pPr>
      <w:r>
        <w:rPr>
          <w:sz w:val="20"/>
        </w:rPr>
        <w:t>Complex, highly intrusive regulatory oversight of utility purchases has traditionally served as a key impediment to efficient, portfolio-based utility procurement</w:t>
      </w:r>
    </w:p>
    <w:p>
      <w:pPr>
        <w:pStyle w:val="Normal"/>
        <w:numPr>
          <w:ilvl w:val="1"/>
          <w:numId w:val="20"/>
        </w:numPr>
        <w:tabs>
          <w:tab w:val="clear" w:pos="720"/>
        </w:tabs>
        <w:ind w:hanging="288" w:start="360" w:end="0"/>
        <w:rPr>
          <w:sz w:val="20"/>
        </w:rPr>
      </w:pPr>
      <w:r>
        <w:rPr>
          <w:sz w:val="20"/>
        </w:rPr>
        <w:t>Regulators’ continued tendency to scrutinize the detailed terms of every utility purchase contract is a key driver of that inefficiency</w:t>
      </w:r>
    </w:p>
    <w:p>
      <w:pPr>
        <w:pStyle w:val="Normal"/>
        <w:numPr>
          <w:ilvl w:val="1"/>
          <w:numId w:val="20"/>
        </w:numPr>
        <w:tabs>
          <w:tab w:val="clear" w:pos="720"/>
        </w:tabs>
        <w:ind w:hanging="288" w:start="360" w:end="0"/>
        <w:rPr>
          <w:sz w:val="20"/>
        </w:rPr>
      </w:pPr>
      <w:r>
        <w:rPr>
          <w:sz w:val="20"/>
        </w:rPr>
        <w:t>In commodity markets, price and term quotes have extremely short shelf-lives and are useless when confronted with prescriptive and unnecessary utility regulations and oversight</w:t>
      </w:r>
    </w:p>
    <w:p>
      <w:pPr>
        <w:pStyle w:val="Normal"/>
        <w:numPr>
          <w:ilvl w:val="1"/>
          <w:numId w:val="20"/>
        </w:numPr>
        <w:tabs>
          <w:tab w:val="clear" w:pos="720"/>
        </w:tabs>
        <w:ind w:hanging="288" w:start="360" w:end="0"/>
        <w:rPr>
          <w:sz w:val="20"/>
        </w:rPr>
      </w:pPr>
      <w:r>
        <w:rPr>
          <w:sz w:val="20"/>
        </w:rPr>
        <w:t xml:space="preserve">California must therefore focus regulatory review on the procurement </w:t>
      </w:r>
      <w:r>
        <w:rPr>
          <w:b/>
          <w:bCs/>
          <w:i/>
          <w:iCs/>
          <w:sz w:val="20"/>
        </w:rPr>
        <w:t>process</w:t>
      </w:r>
      <w:r>
        <w:rPr>
          <w:sz w:val="20"/>
        </w:rPr>
        <w:t xml:space="preserve"> used and not on judging the soundness of every </w:t>
      </w:r>
      <w:r>
        <w:rPr>
          <w:b/>
          <w:bCs/>
          <w:i/>
          <w:iCs/>
          <w:sz w:val="20"/>
        </w:rPr>
        <w:t>detail</w:t>
      </w:r>
      <w:r>
        <w:rPr>
          <w:sz w:val="20"/>
        </w:rPr>
        <w:t xml:space="preserve"> contained in utility purchasing decisions</w:t>
      </w:r>
    </w:p>
    <w:p>
      <w:pPr>
        <w:pStyle w:val="Normal"/>
        <w:numPr>
          <w:ilvl w:val="1"/>
          <w:numId w:val="20"/>
        </w:numPr>
        <w:tabs>
          <w:tab w:val="clear" w:pos="720"/>
        </w:tabs>
        <w:ind w:hanging="288" w:start="360" w:end="0"/>
        <w:rPr>
          <w:sz w:val="20"/>
        </w:rPr>
      </w:pPr>
      <w:r>
        <w:rPr>
          <w:sz w:val="20"/>
        </w:rPr>
        <w:t xml:space="preserve">Accordingly, the advisory council should focus its efforts on devising a process that: </w:t>
      </w:r>
    </w:p>
    <w:p>
      <w:pPr>
        <w:pStyle w:val="Normal"/>
        <w:numPr>
          <w:ilvl w:val="2"/>
          <w:numId w:val="20"/>
        </w:numPr>
        <w:tabs>
          <w:tab w:val="clear" w:pos="720"/>
        </w:tabs>
        <w:ind w:hanging="360" w:start="720" w:end="0"/>
        <w:rPr>
          <w:sz w:val="20"/>
        </w:rPr>
      </w:pPr>
      <w:r>
        <w:rPr>
          <w:sz w:val="20"/>
        </w:rPr>
        <w:t xml:space="preserve">drives efficient, portfolio-based utility procurement, and, </w:t>
      </w:r>
    </w:p>
    <w:p>
      <w:pPr>
        <w:pStyle w:val="Normal"/>
        <w:numPr>
          <w:ilvl w:val="2"/>
          <w:numId w:val="20"/>
        </w:numPr>
        <w:tabs>
          <w:tab w:val="clear" w:pos="720"/>
        </w:tabs>
        <w:ind w:hanging="360" w:start="720" w:end="0"/>
        <w:rPr>
          <w:sz w:val="20"/>
        </w:rPr>
      </w:pPr>
      <w:r>
        <w:rPr>
          <w:sz w:val="20"/>
        </w:rPr>
        <w:t>provides the utility with reasonable assurance that its decisions and ability to recover purchasing costs won’t be continually second-guessed by regulators</w:t>
      </w:r>
    </w:p>
    <w:p>
      <w:pPr>
        <w:pStyle w:val="Normal"/>
        <w:rPr>
          <w:sz w:val="20"/>
        </w:rPr>
      </w:pPr>
      <w:r>
        <w:rPr>
          <w:sz w:val="20"/>
        </w:rPr>
      </w:r>
    </w:p>
    <w:p>
      <w:pPr>
        <w:pStyle w:val="Normal"/>
        <w:numPr>
          <w:ilvl w:val="0"/>
          <w:numId w:val="18"/>
        </w:numPr>
        <w:tabs>
          <w:tab w:val="clear" w:pos="720"/>
        </w:tabs>
        <w:ind w:hanging="360" w:start="360" w:end="0"/>
        <w:rPr>
          <w:b/>
          <w:bCs/>
          <w:sz w:val="20"/>
        </w:rPr>
      </w:pPr>
      <w:r>
        <w:rPr>
          <w:b/>
          <w:bCs/>
          <w:sz w:val="20"/>
        </w:rPr>
        <w:t>Avoid creating an advisory council that precisely mirrors—and thus mimics—advocates already participating in existing administrative and legislative forums</w:t>
      </w:r>
    </w:p>
    <w:p>
      <w:pPr>
        <w:pStyle w:val="Normal"/>
        <w:numPr>
          <w:ilvl w:val="1"/>
          <w:numId w:val="23"/>
        </w:numPr>
        <w:tabs>
          <w:tab w:val="clear" w:pos="720"/>
        </w:tabs>
        <w:ind w:hanging="288" w:start="360" w:end="0"/>
        <w:rPr>
          <w:sz w:val="20"/>
        </w:rPr>
      </w:pPr>
      <w:r>
        <w:rPr>
          <w:sz w:val="20"/>
        </w:rPr>
        <w:t>The quality of the advice and information produced by the advisory council depends directly on the council’s make-up</w:t>
      </w:r>
    </w:p>
    <w:p>
      <w:pPr>
        <w:pStyle w:val="Normal"/>
        <w:numPr>
          <w:ilvl w:val="1"/>
          <w:numId w:val="23"/>
        </w:numPr>
        <w:tabs>
          <w:tab w:val="clear" w:pos="720"/>
        </w:tabs>
        <w:ind w:hanging="288" w:start="360" w:end="0"/>
        <w:rPr>
          <w:sz w:val="20"/>
        </w:rPr>
      </w:pPr>
      <w:r>
        <w:rPr>
          <w:sz w:val="20"/>
        </w:rPr>
        <w:t>The council should therefore draw from the ranks of the various interest groups’ rate, commercial and economic experts and avoid pulling from the ranks of advocates</w:t>
      </w:r>
    </w:p>
    <w:p>
      <w:pPr>
        <w:pStyle w:val="Normal"/>
        <w:numPr>
          <w:ilvl w:val="1"/>
          <w:numId w:val="23"/>
        </w:numPr>
        <w:tabs>
          <w:tab w:val="clear" w:pos="720"/>
        </w:tabs>
        <w:ind w:hanging="288" w:start="360" w:end="0"/>
        <w:rPr>
          <w:sz w:val="20"/>
        </w:rPr>
      </w:pPr>
      <w:r>
        <w:rPr>
          <w:sz w:val="20"/>
        </w:rPr>
        <w:t>The council should also include financial experts from both business and academia.  For example, an experienced financial portfolio manager could contribute significantly to the discussion.  In addition, UC Berkeley’s Haas School of Business has recently established a graduate program in Financial Engineering.  The program draws principally on faculty members from Haas and UCLA’s Anderson schools of business, but also includes finance experts from other top business schools such as Stanford, Harvard and MIT.  The program—and the UC system generally—can provide an excellent source additional information and expertise.</w:t>
      </w:r>
    </w:p>
    <w:p>
      <w:pPr>
        <w:pStyle w:val="Normal"/>
        <w:rPr>
          <w:sz w:val="20"/>
        </w:rPr>
      </w:pPr>
      <w:r>
        <w:rPr>
          <w:sz w:val="20"/>
        </w:rPr>
      </w:r>
    </w:p>
    <w:p>
      <w:pPr>
        <w:pStyle w:val="Normal"/>
        <w:numPr>
          <w:ilvl w:val="0"/>
          <w:numId w:val="24"/>
        </w:numPr>
        <w:tabs>
          <w:tab w:val="clear" w:pos="720"/>
        </w:tabs>
        <w:ind w:hanging="360" w:start="360" w:end="0"/>
        <w:rPr>
          <w:b/>
          <w:bCs/>
          <w:sz w:val="20"/>
        </w:rPr>
      </w:pPr>
      <w:r>
        <w:rPr>
          <w:b/>
          <w:bCs/>
          <w:sz w:val="20"/>
        </w:rPr>
        <w:t>Avoid allowing the council to stray from its objectives or founder</w:t>
      </w:r>
    </w:p>
    <w:p>
      <w:pPr>
        <w:pStyle w:val="Normal"/>
        <w:numPr>
          <w:ilvl w:val="0"/>
          <w:numId w:val="9"/>
        </w:numPr>
        <w:tabs>
          <w:tab w:val="clear" w:pos="720"/>
        </w:tabs>
        <w:ind w:hanging="288" w:start="360" w:end="0"/>
        <w:rPr>
          <w:sz w:val="20"/>
        </w:rPr>
      </w:pPr>
      <w:r>
        <w:rPr>
          <w:sz w:val="20"/>
        </w:rPr>
        <w:t>To avoid this pitfall, we suggest that someone directly accountable to the Governor guide the council’s activities</w:t>
      </w:r>
    </w:p>
    <w:p>
      <w:pPr>
        <w:pStyle w:val="Normal"/>
        <w:numPr>
          <w:ilvl w:val="0"/>
          <w:numId w:val="9"/>
        </w:numPr>
        <w:tabs>
          <w:tab w:val="clear" w:pos="720"/>
        </w:tabs>
        <w:ind w:hanging="288" w:start="360" w:end="0"/>
        <w:rPr>
          <w:sz w:val="20"/>
        </w:rPr>
      </w:pPr>
      <w:r>
        <w:rPr>
          <w:sz w:val="20"/>
        </w:rPr>
        <w:t>Likely candidates might include the Chair of the Electricity Oversight Board or one of the Governor’s key staff members</w:t>
      </w:r>
    </w:p>
    <w:p>
      <w:pPr>
        <w:pStyle w:val="Normal"/>
        <w:rPr>
          <w:sz w:val="20"/>
        </w:rPr>
      </w:pPr>
      <w:r>
        <w:rPr>
          <w:sz w:val="20"/>
        </w:rPr>
      </w:r>
    </w:p>
    <w:p>
      <w:pPr>
        <w:pStyle w:val="Heading1"/>
        <w:ind w:hanging="0" w:start="0"/>
        <w:rPr/>
      </w:pPr>
      <w:r>
        <w:rPr/>
        <w:t>Key Procurement Issues the Council Should Address</w:t>
      </w:r>
    </w:p>
    <w:p>
      <w:pPr>
        <w:pStyle w:val="Normal"/>
        <w:numPr>
          <w:ilvl w:val="0"/>
          <w:numId w:val="14"/>
        </w:numPr>
        <w:tabs>
          <w:tab w:val="clear" w:pos="720"/>
        </w:tabs>
        <w:rPr>
          <w:sz w:val="20"/>
        </w:rPr>
      </w:pPr>
      <w:r>
        <w:rPr>
          <w:sz w:val="20"/>
        </w:rPr>
        <w:t>How can financial incentives supplant intrusive regulation to encourage procurement based on a “balanced portfolio” of short and long-term purchases?</w:t>
      </w:r>
    </w:p>
    <w:p>
      <w:pPr>
        <w:pStyle w:val="Normal"/>
        <w:numPr>
          <w:ilvl w:val="0"/>
          <w:numId w:val="14"/>
        </w:numPr>
        <w:tabs>
          <w:tab w:val="clear" w:pos="720"/>
        </w:tabs>
        <w:rPr>
          <w:sz w:val="20"/>
        </w:rPr>
      </w:pPr>
      <w:r>
        <w:rPr>
          <w:sz w:val="20"/>
        </w:rPr>
        <w:t>How can we ensure that customers benefit from the incentives?</w:t>
      </w:r>
    </w:p>
    <w:p>
      <w:pPr>
        <w:pStyle w:val="Normal"/>
        <w:numPr>
          <w:ilvl w:val="0"/>
          <w:numId w:val="14"/>
        </w:numPr>
        <w:tabs>
          <w:tab w:val="clear" w:pos="720"/>
        </w:tabs>
        <w:rPr>
          <w:sz w:val="20"/>
        </w:rPr>
      </w:pPr>
      <w:r>
        <w:rPr>
          <w:sz w:val="20"/>
        </w:rPr>
        <w:t>Financial incentives require objective—generally market-based—benchmarks against which to measure performance.  What should the benchmarks be based on?  How should they be derived?</w:t>
      </w:r>
    </w:p>
    <w:p>
      <w:pPr>
        <w:pStyle w:val="Normal"/>
        <w:numPr>
          <w:ilvl w:val="0"/>
          <w:numId w:val="14"/>
        </w:numPr>
        <w:tabs>
          <w:tab w:val="clear" w:pos="720"/>
        </w:tabs>
        <w:rPr>
          <w:sz w:val="20"/>
        </w:rPr>
      </w:pPr>
      <w:r>
        <w:rPr>
          <w:sz w:val="20"/>
        </w:rPr>
        <w:t>Rather than develop a benchmark based on a market indicator (e.g., the NYMEX futures contract or a published index), is it preferable to develop a “portfolio benchmark?”  If so, how would the portfolio benchmark be determined?</w:t>
      </w:r>
    </w:p>
    <w:p>
      <w:pPr>
        <w:pStyle w:val="Normal"/>
        <w:numPr>
          <w:ilvl w:val="0"/>
          <w:numId w:val="14"/>
        </w:numPr>
        <w:tabs>
          <w:tab w:val="clear" w:pos="720"/>
        </w:tabs>
        <w:rPr>
          <w:sz w:val="20"/>
        </w:rPr>
      </w:pPr>
      <w:r>
        <w:rPr>
          <w:sz w:val="20"/>
        </w:rPr>
        <w:t xml:space="preserve">Or is it preferable to avoid incentives and benchmarks altogether and focus solely on the competitive </w:t>
      </w:r>
      <w:r>
        <w:rPr>
          <w:b/>
          <w:bCs/>
          <w:i/>
          <w:iCs/>
          <w:sz w:val="20"/>
        </w:rPr>
        <w:t>process</w:t>
      </w:r>
      <w:r>
        <w:rPr>
          <w:sz w:val="20"/>
        </w:rPr>
        <w:t xml:space="preserve"> the utility uses to procure supplies?  In short, should utility purchases be free from regulatory scrutiny as long as the purchases are consistent with a state-approved competitive solicitation process?  Or should California combine a pre-approved solicitation process with financial incentives for superior purchasing performance?</w:t>
      </w:r>
    </w:p>
    <w:p>
      <w:pPr>
        <w:pStyle w:val="Normal"/>
        <w:numPr>
          <w:ilvl w:val="0"/>
          <w:numId w:val="14"/>
        </w:numPr>
        <w:tabs>
          <w:tab w:val="clear" w:pos="720"/>
        </w:tabs>
        <w:rPr>
          <w:sz w:val="20"/>
        </w:rPr>
      </w:pPr>
      <w:r>
        <w:rPr>
          <w:sz w:val="20"/>
        </w:rPr>
        <w:t>If the utility focuses increasingly on longer-term contracts, should customers be forced to make longer commitments to utility service, or can the utility adequately manage the possibility that customers might switch service providers by using risk management tools available in the market place?</w:t>
      </w:r>
    </w:p>
    <w:p>
      <w:pPr>
        <w:pStyle w:val="Normal"/>
        <w:numPr>
          <w:ilvl w:val="0"/>
          <w:numId w:val="14"/>
        </w:numPr>
        <w:tabs>
          <w:tab w:val="clear" w:pos="720"/>
        </w:tabs>
        <w:rPr>
          <w:sz w:val="20"/>
        </w:rPr>
      </w:pPr>
      <w:r>
        <w:rPr>
          <w:sz w:val="20"/>
        </w:rPr>
        <w:t>Would consumers be better off if the utility outsourced the procurement role to a third-party better suited to provide these services?</w:t>
      </w:r>
    </w:p>
    <w:p>
      <w:pPr>
        <w:pStyle w:val="Normal"/>
        <w:rPr>
          <w:sz w:val="20"/>
        </w:rPr>
      </w:pPr>
      <w:r>
        <w:rPr>
          <w:sz w:val="20"/>
        </w:rPr>
      </w:r>
    </w:p>
    <w:p>
      <w:pPr>
        <w:pStyle w:val="Heading1"/>
        <w:ind w:hanging="0" w:start="0"/>
        <w:rPr>
          <w:smallCaps/>
        </w:rPr>
      </w:pPr>
      <w:r>
        <w:rPr>
          <w:smallCaps/>
        </w:rPr>
        <w:t>List of Suggested Council Participants</w:t>
      </w:r>
    </w:p>
    <w:p>
      <w:pPr>
        <w:pStyle w:val="Normal"/>
        <w:numPr>
          <w:ilvl w:val="0"/>
          <w:numId w:val="3"/>
        </w:numPr>
        <w:rPr>
          <w:sz w:val="20"/>
        </w:rPr>
      </w:pPr>
      <w:r>
        <w:rPr>
          <w:sz w:val="20"/>
        </w:rPr>
        <w:t>Electric utility representative</w:t>
      </w:r>
    </w:p>
    <w:p>
      <w:pPr>
        <w:pStyle w:val="Normal"/>
        <w:numPr>
          <w:ilvl w:val="0"/>
          <w:numId w:val="3"/>
        </w:numPr>
        <w:rPr>
          <w:sz w:val="20"/>
        </w:rPr>
      </w:pPr>
      <w:r>
        <w:rPr>
          <w:sz w:val="20"/>
        </w:rPr>
        <w:t>Gas utility representative</w:t>
      </w:r>
    </w:p>
    <w:p>
      <w:pPr>
        <w:pStyle w:val="Normal"/>
        <w:numPr>
          <w:ilvl w:val="0"/>
          <w:numId w:val="3"/>
        </w:numPr>
        <w:rPr>
          <w:sz w:val="20"/>
        </w:rPr>
      </w:pPr>
      <w:r>
        <w:rPr>
          <w:sz w:val="20"/>
        </w:rPr>
        <w:t>Small customer representative</w:t>
      </w:r>
    </w:p>
    <w:p>
      <w:pPr>
        <w:pStyle w:val="Normal"/>
        <w:numPr>
          <w:ilvl w:val="0"/>
          <w:numId w:val="3"/>
        </w:numPr>
        <w:rPr>
          <w:sz w:val="20"/>
        </w:rPr>
      </w:pPr>
      <w:r>
        <w:rPr>
          <w:sz w:val="20"/>
        </w:rPr>
        <w:t>Large customer representative</w:t>
      </w:r>
    </w:p>
    <w:p>
      <w:pPr>
        <w:pStyle w:val="Normal"/>
        <w:numPr>
          <w:ilvl w:val="0"/>
          <w:numId w:val="3"/>
        </w:numPr>
        <w:rPr>
          <w:sz w:val="20"/>
        </w:rPr>
      </w:pPr>
      <w:r>
        <w:rPr>
          <w:sz w:val="20"/>
        </w:rPr>
        <w:t>Generator representative</w:t>
      </w:r>
    </w:p>
    <w:p>
      <w:pPr>
        <w:pStyle w:val="Normal"/>
        <w:numPr>
          <w:ilvl w:val="0"/>
          <w:numId w:val="3"/>
        </w:numPr>
        <w:rPr>
          <w:sz w:val="20"/>
        </w:rPr>
      </w:pPr>
      <w:r>
        <w:rPr>
          <w:sz w:val="20"/>
        </w:rPr>
        <w:t>Marketer representative</w:t>
      </w:r>
    </w:p>
    <w:p>
      <w:pPr>
        <w:pStyle w:val="Normal"/>
        <w:numPr>
          <w:ilvl w:val="0"/>
          <w:numId w:val="3"/>
        </w:numPr>
        <w:rPr>
          <w:sz w:val="20"/>
        </w:rPr>
      </w:pPr>
      <w:r>
        <w:rPr>
          <w:sz w:val="20"/>
        </w:rPr>
        <w:t>Financial expert from the financial community</w:t>
      </w:r>
    </w:p>
    <w:p>
      <w:pPr>
        <w:pStyle w:val="Normal"/>
        <w:numPr>
          <w:ilvl w:val="0"/>
          <w:numId w:val="3"/>
        </w:numPr>
        <w:rPr>
          <w:sz w:val="20"/>
        </w:rPr>
      </w:pPr>
      <w:r>
        <w:rPr>
          <w:sz w:val="20"/>
        </w:rPr>
        <w:t>Financial expert from the academic community</w:t>
      </w:r>
    </w:p>
    <w:p>
      <w:pPr>
        <w:pStyle w:val="Normal"/>
        <w:numPr>
          <w:ilvl w:val="0"/>
          <w:numId w:val="3"/>
        </w:numPr>
        <w:rPr>
          <w:sz w:val="20"/>
        </w:rPr>
      </w:pPr>
      <w:r>
        <w:rPr>
          <w:sz w:val="20"/>
        </w:rPr>
        <w:t>Environmental representative</w:t>
      </w:r>
    </w:p>
    <w:p>
      <w:pPr>
        <w:pStyle w:val="Normal"/>
        <w:ind w:start="72" w:end="0"/>
        <w:rPr>
          <w:sz w:val="20"/>
        </w:rPr>
      </w:pPr>
      <w:r>
        <w:rPr>
          <w:sz w:val="20"/>
        </w:rPr>
      </w:r>
      <w:r>
        <w:br w:type="page"/>
      </w:r>
    </w:p>
    <w:p>
      <w:pPr>
        <w:pStyle w:val="Normal"/>
        <w:jc w:val="center"/>
        <w:rPr>
          <w:b/>
          <w:bCs/>
          <w:i/>
          <w:i/>
          <w:iCs/>
          <w:smallCaps/>
          <w:color w:val="000000"/>
          <w:sz w:val="20"/>
          <w:szCs w:val="20"/>
        </w:rPr>
      </w:pPr>
      <w:r>
        <w:rPr>
          <w:b/>
          <w:bCs/>
          <w:i/>
          <w:iCs/>
          <w:smallCaps/>
          <w:color w:val="000000"/>
          <w:sz w:val="20"/>
          <w:szCs w:val="14"/>
        </w:rPr>
        <w:t>IV.</w:t>
        <w:tab/>
        <w:t>Enron’s Comments on the Options Raised by the Governor</w:t>
      </w:r>
    </w:p>
    <w:p>
      <w:pPr>
        <w:pStyle w:val="Normal"/>
        <w:keepLines/>
        <w:autoSpaceDE w:val="false"/>
        <w:spacing w:lineRule="atLeast" w:line="240"/>
        <w:rPr>
          <w:b/>
          <w:bCs/>
          <w:i/>
          <w:i/>
          <w:iCs/>
          <w:smallCaps/>
          <w:color w:val="000000"/>
          <w:sz w:val="20"/>
          <w:szCs w:val="20"/>
        </w:rPr>
      </w:pPr>
      <w:r>
        <w:rPr>
          <w:b/>
          <w:bCs/>
          <w:i/>
          <w:iCs/>
          <w:smallCaps/>
          <w:color w:val="000000"/>
          <w:sz w:val="20"/>
          <w:szCs w:val="20"/>
        </w:rPr>
      </w:r>
    </w:p>
    <w:p>
      <w:pPr>
        <w:pStyle w:val="Normal"/>
        <w:keepLines/>
        <w:numPr>
          <w:ilvl w:val="0"/>
          <w:numId w:val="15"/>
        </w:numPr>
        <w:autoSpaceDE w:val="false"/>
        <w:spacing w:lineRule="atLeast" w:line="240"/>
        <w:rPr>
          <w:color w:val="000000"/>
          <w:sz w:val="20"/>
          <w:szCs w:val="20"/>
        </w:rPr>
      </w:pPr>
      <w:r>
        <w:rPr>
          <w:b/>
          <w:bCs/>
          <w:i/>
          <w:iCs/>
          <w:sz w:val="20"/>
        </w:rPr>
        <w:t>The State of California invests directly in power plants</w:t>
      </w:r>
      <w:r>
        <w:rPr>
          <w:b/>
          <w:bCs/>
          <w:i/>
          <w:iCs/>
          <w:color w:val="000000"/>
          <w:sz w:val="20"/>
          <w:szCs w:val="20"/>
        </w:rPr>
        <w:t>.</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Advantages</w:t>
      </w:r>
    </w:p>
    <w:p>
      <w:pPr>
        <w:pStyle w:val="Normal"/>
        <w:keepLines/>
        <w:numPr>
          <w:ilvl w:val="0"/>
          <w:numId w:val="10"/>
        </w:numPr>
        <w:autoSpaceDE w:val="false"/>
        <w:spacing w:lineRule="atLeast" w:line="240"/>
        <w:rPr>
          <w:color w:val="000000"/>
          <w:sz w:val="20"/>
          <w:szCs w:val="20"/>
        </w:rPr>
      </w:pPr>
      <w:r>
        <w:rPr>
          <w:color w:val="000000"/>
          <w:sz w:val="20"/>
          <w:szCs w:val="20"/>
        </w:rPr>
        <w:t>Quicken pace of in-state power plant development</w:t>
      </w:r>
    </w:p>
    <w:p>
      <w:pPr>
        <w:pStyle w:val="Normal"/>
        <w:keepLines/>
        <w:numPr>
          <w:ilvl w:val="0"/>
          <w:numId w:val="10"/>
        </w:numPr>
        <w:autoSpaceDE w:val="false"/>
        <w:spacing w:lineRule="atLeast" w:line="240"/>
        <w:rPr>
          <w:color w:val="000000"/>
          <w:sz w:val="20"/>
          <w:szCs w:val="20"/>
        </w:rPr>
      </w:pPr>
      <w:r>
        <w:rPr>
          <w:color w:val="000000"/>
          <w:sz w:val="20"/>
          <w:szCs w:val="20"/>
        </w:rPr>
        <w:t>Expand supply, enhancing reliability and putting downward pressure on prices for consumers</w:t>
      </w:r>
    </w:p>
    <w:p>
      <w:pPr>
        <w:pStyle w:val="Normal"/>
        <w:keepLines/>
        <w:numPr>
          <w:ilvl w:val="0"/>
          <w:numId w:val="10"/>
        </w:numPr>
        <w:autoSpaceDE w:val="false"/>
        <w:spacing w:lineRule="atLeast" w:line="240"/>
        <w:rPr>
          <w:color w:val="000000"/>
          <w:sz w:val="20"/>
          <w:szCs w:val="20"/>
        </w:rPr>
      </w:pPr>
      <w:r>
        <w:rPr>
          <w:color w:val="000000"/>
          <w:sz w:val="20"/>
          <w:szCs w:val="20"/>
        </w:rPr>
        <w:t>Reduce the price volatility that consumers face under the current structure</w:t>
      </w:r>
    </w:p>
    <w:p>
      <w:pPr>
        <w:pStyle w:val="Normal"/>
        <w:keepLines/>
        <w:numPr>
          <w:ilvl w:val="0"/>
          <w:numId w:val="10"/>
        </w:numPr>
        <w:autoSpaceDE w:val="false"/>
        <w:spacing w:lineRule="atLeast" w:line="240"/>
        <w:rPr>
          <w:color w:val="000000"/>
          <w:sz w:val="20"/>
          <w:szCs w:val="20"/>
        </w:rPr>
      </w:pPr>
      <w:r>
        <w:rPr>
          <w:color w:val="000000"/>
          <w:sz w:val="20"/>
          <w:szCs w:val="20"/>
        </w:rPr>
        <w:t>Enhance the State’s ability to influence wholesale power markets and undermine market power</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Risks</w:t>
      </w:r>
    </w:p>
    <w:p>
      <w:pPr>
        <w:pStyle w:val="Normal"/>
        <w:keepLines/>
        <w:numPr>
          <w:ilvl w:val="0"/>
          <w:numId w:val="26"/>
        </w:numPr>
        <w:tabs>
          <w:tab w:val="clear" w:pos="720"/>
        </w:tabs>
        <w:autoSpaceDE w:val="false"/>
        <w:spacing w:lineRule="atLeast" w:line="240"/>
        <w:ind w:hanging="360" w:start="360" w:end="0"/>
        <w:rPr>
          <w:color w:val="000000"/>
          <w:sz w:val="20"/>
          <w:szCs w:val="20"/>
        </w:rPr>
      </w:pPr>
      <w:r>
        <w:rPr>
          <w:color w:val="000000"/>
          <w:sz w:val="20"/>
          <w:szCs w:val="20"/>
        </w:rPr>
        <w:t>Asset impairment could leave the State and taxpayers with unrecoverable plant costs</w:t>
      </w:r>
    </w:p>
    <w:p>
      <w:pPr>
        <w:pStyle w:val="Normal"/>
        <w:keepLines/>
        <w:numPr>
          <w:ilvl w:val="0"/>
          <w:numId w:val="26"/>
        </w:numPr>
        <w:tabs>
          <w:tab w:val="clear" w:pos="720"/>
        </w:tabs>
        <w:autoSpaceDE w:val="false"/>
        <w:spacing w:lineRule="atLeast" w:line="240"/>
        <w:ind w:hanging="360" w:start="360" w:end="0"/>
        <w:rPr>
          <w:color w:val="000000"/>
          <w:sz w:val="20"/>
          <w:szCs w:val="20"/>
        </w:rPr>
      </w:pPr>
      <w:r>
        <w:rPr>
          <w:color w:val="000000"/>
          <w:sz w:val="20"/>
          <w:szCs w:val="20"/>
        </w:rPr>
        <w:t xml:space="preserve">State demand for emission credits to construct plants could “crowd out” private investment </w:t>
      </w:r>
    </w:p>
    <w:p>
      <w:pPr>
        <w:pStyle w:val="Normal"/>
        <w:keepLines/>
        <w:numPr>
          <w:ilvl w:val="0"/>
          <w:numId w:val="26"/>
        </w:numPr>
        <w:tabs>
          <w:tab w:val="clear" w:pos="720"/>
        </w:tabs>
        <w:autoSpaceDE w:val="false"/>
        <w:spacing w:lineRule="atLeast" w:line="240"/>
        <w:ind w:hanging="360" w:start="360" w:end="0"/>
        <w:rPr>
          <w:color w:val="000000"/>
          <w:sz w:val="20"/>
          <w:szCs w:val="20"/>
        </w:rPr>
      </w:pPr>
      <w:r>
        <w:rPr>
          <w:color w:val="000000"/>
          <w:sz w:val="20"/>
          <w:szCs w:val="20"/>
        </w:rPr>
        <w:t>Diverting funds toward power plant investment could threaten investment in other projects</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Comments</w:t>
      </w:r>
    </w:p>
    <w:p>
      <w:pPr>
        <w:pStyle w:val="Normal"/>
        <w:keepLines/>
        <w:numPr>
          <w:ilvl w:val="0"/>
          <w:numId w:val="26"/>
        </w:numPr>
        <w:tabs>
          <w:tab w:val="clear" w:pos="720"/>
        </w:tabs>
        <w:autoSpaceDE w:val="false"/>
        <w:spacing w:lineRule="atLeast" w:line="240"/>
        <w:ind w:hanging="360" w:start="360" w:end="0"/>
        <w:rPr>
          <w:color w:val="000000"/>
          <w:sz w:val="20"/>
          <w:szCs w:val="20"/>
        </w:rPr>
      </w:pPr>
      <w:r>
        <w:rPr>
          <w:color w:val="000000"/>
          <w:sz w:val="20"/>
          <w:szCs w:val="20"/>
        </w:rPr>
        <w:t>The benefits of reducing the supply shortage makes direct investment by the state a potentially attractive option</w:t>
      </w:r>
    </w:p>
    <w:p>
      <w:pPr>
        <w:pStyle w:val="Normal"/>
        <w:keepLines/>
        <w:numPr>
          <w:ilvl w:val="0"/>
          <w:numId w:val="26"/>
        </w:numPr>
        <w:tabs>
          <w:tab w:val="clear" w:pos="720"/>
        </w:tabs>
        <w:autoSpaceDE w:val="false"/>
        <w:spacing w:lineRule="atLeast" w:line="240"/>
        <w:ind w:hanging="360" w:start="360" w:end="0"/>
        <w:rPr>
          <w:color w:val="000000"/>
          <w:sz w:val="20"/>
          <w:szCs w:val="20"/>
        </w:rPr>
      </w:pPr>
      <w:r>
        <w:rPr>
          <w:color w:val="000000"/>
          <w:sz w:val="20"/>
          <w:szCs w:val="20"/>
        </w:rPr>
        <w:t>The State will maximize the value of plant development by outsourcing plant construction and operation through competitive solicitation</w:t>
      </w:r>
    </w:p>
    <w:p>
      <w:pPr>
        <w:pStyle w:val="Normal"/>
        <w:keepLines/>
        <w:numPr>
          <w:ilvl w:val="0"/>
          <w:numId w:val="26"/>
        </w:numPr>
        <w:tabs>
          <w:tab w:val="clear" w:pos="720"/>
        </w:tabs>
        <w:autoSpaceDE w:val="false"/>
        <w:spacing w:lineRule="atLeast" w:line="240"/>
        <w:ind w:hanging="360" w:start="360" w:end="0"/>
        <w:rPr>
          <w:color w:val="000000"/>
          <w:sz w:val="20"/>
          <w:szCs w:val="20"/>
        </w:rPr>
      </w:pPr>
      <w:r>
        <w:rPr>
          <w:color w:val="000000"/>
          <w:sz w:val="20"/>
          <w:szCs w:val="20"/>
        </w:rPr>
        <w:t>Target state-owned properties for power plant development</w:t>
      </w:r>
    </w:p>
    <w:p>
      <w:pPr>
        <w:pStyle w:val="Normal"/>
        <w:keepLines/>
        <w:numPr>
          <w:ilvl w:val="0"/>
          <w:numId w:val="5"/>
        </w:numPr>
        <w:tabs>
          <w:tab w:val="clear" w:pos="720"/>
        </w:tabs>
        <w:autoSpaceDE w:val="false"/>
        <w:spacing w:lineRule="atLeast" w:line="240"/>
        <w:ind w:hanging="360" w:start="720" w:end="0"/>
        <w:rPr>
          <w:color w:val="000000"/>
          <w:sz w:val="20"/>
          <w:szCs w:val="20"/>
        </w:rPr>
      </w:pPr>
      <w:r>
        <w:rPr>
          <w:color w:val="000000"/>
          <w:sz w:val="20"/>
          <w:szCs w:val="20"/>
        </w:rPr>
        <w:t>Targeting state-owned property can speed development</w:t>
      </w:r>
    </w:p>
    <w:p>
      <w:pPr>
        <w:pStyle w:val="Normal"/>
        <w:keepLines/>
        <w:numPr>
          <w:ilvl w:val="0"/>
          <w:numId w:val="5"/>
        </w:numPr>
        <w:tabs>
          <w:tab w:val="clear" w:pos="720"/>
        </w:tabs>
        <w:autoSpaceDE w:val="false"/>
        <w:spacing w:lineRule="atLeast" w:line="240"/>
        <w:ind w:hanging="360" w:start="720" w:end="0"/>
        <w:rPr>
          <w:color w:val="000000"/>
          <w:sz w:val="20"/>
          <w:szCs w:val="20"/>
        </w:rPr>
      </w:pPr>
      <w:r>
        <w:rPr>
          <w:color w:val="000000"/>
          <w:sz w:val="20"/>
          <w:szCs w:val="20"/>
        </w:rPr>
        <w:t>Utility interconnection rules and utility standby rates can frustrate or kill plant development.  By developing plants on its property, the State can prevent either from impeding construction and can lead the way for other developers in setting new standards for interconnection and stand-by rates.</w:t>
      </w:r>
    </w:p>
    <w:p>
      <w:pPr>
        <w:pStyle w:val="Normal"/>
        <w:keepLines/>
        <w:numPr>
          <w:ilvl w:val="0"/>
          <w:numId w:val="5"/>
        </w:numPr>
        <w:tabs>
          <w:tab w:val="clear" w:pos="720"/>
        </w:tabs>
        <w:autoSpaceDE w:val="false"/>
        <w:spacing w:lineRule="atLeast" w:line="240"/>
        <w:ind w:hanging="360" w:start="720" w:end="0"/>
        <w:rPr>
          <w:color w:val="000000"/>
          <w:sz w:val="20"/>
          <w:szCs w:val="20"/>
        </w:rPr>
      </w:pPr>
      <w:r>
        <w:rPr>
          <w:color w:val="000000"/>
          <w:sz w:val="20"/>
          <w:szCs w:val="20"/>
        </w:rPr>
        <w:t>Developing plants at State-owned sites will increase power supplies and simultaneously lower the cost of power to state-owned facilities.</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12"/>
        </w:numPr>
        <w:tabs>
          <w:tab w:val="clear" w:pos="720"/>
        </w:tabs>
        <w:autoSpaceDE w:val="false"/>
        <w:spacing w:lineRule="atLeast" w:line="240"/>
        <w:ind w:hanging="360" w:start="360" w:end="0"/>
        <w:rPr>
          <w:color w:val="000000"/>
          <w:sz w:val="20"/>
          <w:szCs w:val="20"/>
        </w:rPr>
      </w:pPr>
      <w:r>
        <w:rPr>
          <w:b/>
          <w:bCs/>
          <w:i/>
          <w:iCs/>
          <w:color w:val="000000"/>
          <w:sz w:val="20"/>
          <w:szCs w:val="20"/>
        </w:rPr>
        <w:t>Require utilities to retain power plants and sell the output on a cost-plus basis to consumers</w:t>
      </w:r>
    </w:p>
    <w:p>
      <w:pPr>
        <w:pStyle w:val="Normal"/>
        <w:keepLines/>
        <w:numPr>
          <w:ilvl w:val="0"/>
          <w:numId w:val="12"/>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Require municipal utilities to sell excess generation capacity in California</w:t>
      </w:r>
    </w:p>
    <w:p>
      <w:pPr>
        <w:pStyle w:val="Normal"/>
        <w:keepLines/>
        <w:numPr>
          <w:ilvl w:val="0"/>
          <w:numId w:val="12"/>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Direct California state universities to deploy on-site, distributed generation more widely</w:t>
      </w:r>
    </w:p>
    <w:p>
      <w:pPr>
        <w:pStyle w:val="Normal"/>
        <w:keepLines/>
        <w:numPr>
          <w:ilvl w:val="0"/>
          <w:numId w:val="12"/>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Expand in-state gas production</w:t>
      </w:r>
    </w:p>
    <w:p>
      <w:pPr>
        <w:pStyle w:val="Normal"/>
        <w:keepLines/>
        <w:numPr>
          <w:ilvl w:val="0"/>
          <w:numId w:val="12"/>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Take state lands gas royalties in kind</w:t>
      </w:r>
    </w:p>
    <w:p>
      <w:pPr>
        <w:pStyle w:val="Normal"/>
        <w:keepLines/>
        <w:numPr>
          <w:ilvl w:val="0"/>
          <w:numId w:val="12"/>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Negotiate directly with tribes and state governments in the west for additional gas supplies</w:t>
      </w:r>
    </w:p>
    <w:p>
      <w:pPr>
        <w:pStyle w:val="Normal"/>
        <w:keepLines/>
        <w:numPr>
          <w:ilvl w:val="0"/>
          <w:numId w:val="12"/>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Empower an existing state agency to approve/coordinate power plant maintenance schedules to avoid having too much generation out of service at any one time</w:t>
      </w:r>
    </w:p>
    <w:p>
      <w:pPr>
        <w:pStyle w:val="Normal"/>
        <w:keepLines/>
        <w:numPr>
          <w:ilvl w:val="0"/>
          <w:numId w:val="12"/>
        </w:numPr>
        <w:tabs>
          <w:tab w:val="clear" w:pos="720"/>
        </w:tabs>
        <w:autoSpaceDE w:val="false"/>
        <w:spacing w:lineRule="atLeast" w:line="240"/>
        <w:ind w:hanging="360" w:start="360" w:end="0"/>
        <w:rPr>
          <w:b/>
          <w:bCs/>
          <w:i/>
          <w:i/>
          <w:iCs/>
          <w:sz w:val="20"/>
        </w:rPr>
      </w:pPr>
      <w:r>
        <w:rPr>
          <w:b/>
          <w:bCs/>
          <w:i/>
          <w:iCs/>
          <w:color w:val="000000"/>
          <w:sz w:val="20"/>
          <w:szCs w:val="20"/>
        </w:rPr>
        <w:t>Condition emissions offsets on commitments to sell power longer term in state.</w:t>
      </w:r>
    </w:p>
    <w:p>
      <w:pPr>
        <w:pStyle w:val="Normal"/>
        <w:keepLines/>
        <w:numPr>
          <w:ilvl w:val="0"/>
          <w:numId w:val="12"/>
        </w:numPr>
        <w:tabs>
          <w:tab w:val="clear" w:pos="720"/>
        </w:tabs>
        <w:autoSpaceDE w:val="false"/>
        <w:spacing w:lineRule="atLeast" w:line="240"/>
        <w:ind w:hanging="360" w:start="360" w:end="0"/>
        <w:rPr>
          <w:b/>
          <w:bCs/>
          <w:i/>
          <w:i/>
          <w:iCs/>
          <w:color w:val="000000"/>
          <w:sz w:val="20"/>
          <w:szCs w:val="20"/>
        </w:rPr>
      </w:pPr>
      <w:r>
        <w:rPr>
          <w:b/>
          <w:bCs/>
          <w:i/>
          <w:iCs/>
          <w:sz w:val="20"/>
        </w:rPr>
        <w:t>Eliminate the ISO or sharply curtail its function – How does the California ISO compare to Nord Pool?</w:t>
      </w:r>
    </w:p>
    <w:p>
      <w:pPr>
        <w:pStyle w:val="Normal"/>
        <w:keepLines/>
        <w:numPr>
          <w:ilvl w:val="0"/>
          <w:numId w:val="12"/>
        </w:numPr>
        <w:tabs>
          <w:tab w:val="clear" w:pos="720"/>
        </w:tabs>
        <w:autoSpaceDE w:val="false"/>
        <w:spacing w:lineRule="atLeast" w:line="240"/>
        <w:ind w:hanging="360" w:start="360" w:end="0"/>
        <w:rPr>
          <w:b/>
          <w:bCs/>
          <w:i/>
          <w:i/>
          <w:iCs/>
          <w:color w:val="000000"/>
          <w:sz w:val="20"/>
          <w:szCs w:val="20"/>
        </w:rPr>
      </w:pPr>
      <w:r>
        <w:rPr>
          <w:b/>
          <w:bCs/>
          <w:i/>
          <w:iCs/>
          <w:sz w:val="20"/>
        </w:rPr>
        <w:t>Condition new generation permits on commitment to sell output in-state.  We made some headway with the idea that he could instead require utilities to buy some portion of their forward requirements from new in-state generation thereby accomplishing the same thing without using a command and control approach with generators.</w:t>
      </w:r>
    </w:p>
    <w:p>
      <w:pPr>
        <w:pStyle w:val="Normal"/>
        <w:keepLines/>
        <w:numPr>
          <w:ilvl w:val="0"/>
          <w:numId w:val="12"/>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Securitize uncollected power purchase costs</w:t>
      </w:r>
    </w:p>
    <w:p>
      <w:pPr>
        <w:pStyle w:val="Normal"/>
        <w:ind w:hanging="360" w:start="360" w:end="0"/>
        <w:rPr>
          <w:b/>
          <w:bCs/>
          <w:i/>
          <w:i/>
          <w:iCs/>
          <w:color w:val="000000"/>
          <w:sz w:val="20"/>
          <w:szCs w:val="20"/>
        </w:rPr>
      </w:pPr>
      <w:r>
        <w:rPr>
          <w:b/>
          <w:bCs/>
          <w:i/>
          <w:iCs/>
          <w:color w:val="000000"/>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648" w:hanging="288"/>
      </w:pPr>
      <w:rPr>
        <w:rFonts w:ascii="Wingdings" w:hAnsi="Wingdings" w:cs="Wingdings" w:hint="default"/>
      </w:rPr>
    </w:lvl>
  </w:abstractNum>
  <w:abstractNum w:abstractNumId="7">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rPr/>
    </w:lvl>
    <w:lvl w:ilvl="2">
      <w:start w:val="1"/>
      <w:numFmt w:val="bullet"/>
      <w:lvlText w:val=""/>
      <w:lvlJc w:val="start"/>
      <w:pPr>
        <w:tabs>
          <w:tab w:val="num" w:pos="2340"/>
        </w:tabs>
        <w:ind w:start="2340" w:hanging="360"/>
      </w:pPr>
      <w:rPr>
        <w:rFonts w:ascii="Wingdings" w:hAnsi="Wingdings" w:cs="Wingdings"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bullet"/>
      <w:lvlText w:val=""/>
      <w:lvlJc w:val="start"/>
      <w:pPr>
        <w:tabs>
          <w:tab w:val="num" w:pos="1440"/>
        </w:tabs>
        <w:ind w:start="1368" w:hanging="288"/>
      </w:pPr>
      <w:rPr>
        <w:rFonts w:ascii="Wingdings" w:hAnsi="Wingdings" w:cs="Wingdings" w:hint="default"/>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2"/>
      <w:numFmt w:val="decimal"/>
      <w:lvlText w:val="%1."/>
      <w:lvlJc w:val="start"/>
      <w:pPr>
        <w:tabs>
          <w:tab w:val="num" w:pos="6480"/>
        </w:tabs>
        <w:ind w:start="6480" w:hanging="360"/>
      </w:pPr>
      <w:rPr/>
    </w:lvl>
  </w:abstractNum>
  <w:abstractNum w:abstractNumId="13">
    <w:lvl w:ilvl="0">
      <w:start w:val="1"/>
      <w:numFmt w:val="bullet"/>
      <w:lvlText w:val=""/>
      <w:lvlJc w:val="start"/>
      <w:pPr>
        <w:tabs>
          <w:tab w:val="num" w:pos="360"/>
        </w:tabs>
        <w:ind w:start="288" w:hanging="288"/>
      </w:pPr>
      <w:rPr>
        <w:rFonts w:ascii="Wingdings" w:hAnsi="Wingdings" w:cs="Wingdings" w:hint="default"/>
      </w:rPr>
    </w:lvl>
  </w:abstractNum>
  <w:abstractNum w:abstractNumId="14">
    <w:lvl w:ilvl="0">
      <w:start w:val="1"/>
      <w:numFmt w:val="bullet"/>
      <w:lvlText w:val=""/>
      <w:lvlJc w:val="start"/>
      <w:pPr>
        <w:tabs>
          <w:tab w:val="num" w:pos="360"/>
        </w:tabs>
        <w:ind w:start="288" w:hanging="288"/>
      </w:pPr>
      <w:rPr>
        <w:rFonts w:ascii="Wingdings" w:hAnsi="Wingdings" w:cs="Wingdings" w:hint="default"/>
      </w:rPr>
    </w:lvl>
  </w:abstractNum>
  <w:abstractNum w:abstractNumId="15">
    <w:lvl w:ilvl="0">
      <w:start w:val="1"/>
      <w:numFmt w:val="decimal"/>
      <w:lvlText w:val="%1."/>
      <w:lvlJc w:val="start"/>
      <w:pPr>
        <w:tabs>
          <w:tab w:val="num" w:pos="360"/>
        </w:tabs>
        <w:ind w:start="360" w:hanging="360"/>
      </w:pPr>
      <w:rPr/>
    </w:lvl>
  </w:abstractNum>
  <w:abstractNum w:abstractNumId="16">
    <w:lvl w:ilvl="0">
      <w:start w:val="2"/>
      <w:numFmt w:val="decimal"/>
      <w:lvlText w:val="%1."/>
      <w:lvlJc w:val="start"/>
      <w:pPr>
        <w:tabs>
          <w:tab w:val="num" w:pos="360"/>
        </w:tabs>
        <w:ind w:start="360" w:hanging="360"/>
      </w:pPr>
      <w:rPr/>
    </w:lvl>
    <w:lvl w:ilvl="1">
      <w:start w:val="1"/>
      <w:numFmt w:val="bullet"/>
      <w:lvlText w:val=""/>
      <w:lvlJc w:val="start"/>
      <w:pPr>
        <w:tabs>
          <w:tab w:val="num" w:pos="1440"/>
        </w:tabs>
        <w:ind w:start="1440" w:hanging="360"/>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7">
    <w:lvl w:ilvl="0">
      <w:start w:val="1"/>
      <w:numFmt w:val="bullet"/>
      <w:lvlText w:val=""/>
      <w:lvlJc w:val="start"/>
      <w:pPr>
        <w:tabs>
          <w:tab w:val="num" w:pos="720"/>
        </w:tabs>
        <w:ind w:start="648" w:hanging="288"/>
      </w:pPr>
      <w:rPr>
        <w:rFonts w:ascii="Wingdings" w:hAnsi="Wingdings" w:cs="Wingdings" w:hint="default"/>
      </w:rPr>
    </w:lvl>
  </w:abstractNum>
  <w:abstractNum w:abstractNumId="18">
    <w:lvl w:ilvl="0">
      <w:start w:val="2"/>
      <w:numFmt w:val="decimal"/>
      <w:lvlText w:val="%1."/>
      <w:lvlJc w:val="start"/>
      <w:pPr>
        <w:tabs>
          <w:tab w:val="num" w:pos="2340"/>
        </w:tabs>
        <w:ind w:start="2340" w:hanging="360"/>
      </w:pPr>
      <w:rPr/>
    </w:lvl>
  </w:abstractNum>
  <w:abstractNum w:abstractNumId="19">
    <w:lvl w:ilvl="0">
      <w:start w:val="1"/>
      <w:numFmt w:val="bullet"/>
      <w:lvlText w:val=""/>
      <w:lvlJc w:val="start"/>
      <w:pPr>
        <w:tabs>
          <w:tab w:val="num" w:pos="6480"/>
        </w:tabs>
        <w:ind w:start="6480" w:hanging="360"/>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3"/>
      <w:numFmt w:val="decimal"/>
      <w:lvlText w:val="%3."/>
      <w:lvlJc w:val="start"/>
      <w:pPr>
        <w:tabs>
          <w:tab w:val="num" w:pos="720"/>
        </w:tabs>
        <w:ind w:start="720" w:hanging="360"/>
      </w:pPr>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0">
    <w:lvl w:ilvl="0">
      <w:start w:val="1"/>
      <w:numFmt w:val="decimal"/>
      <w:lvlText w:val="%1."/>
      <w:lvlJc w:val="start"/>
      <w:pPr>
        <w:tabs>
          <w:tab w:val="num" w:pos="720"/>
        </w:tabs>
        <w:ind w:start="720" w:hanging="360"/>
      </w:pPr>
    </w:lvl>
    <w:lvl w:ilvl="1">
      <w:start w:val="1"/>
      <w:numFmt w:val="bullet"/>
      <w:lvlText w:val=""/>
      <w:lvlJc w:val="start"/>
      <w:pPr>
        <w:tabs>
          <w:tab w:val="num" w:pos="1440"/>
        </w:tabs>
        <w:ind w:start="1368" w:hanging="288"/>
      </w:pPr>
      <w:rPr>
        <w:rFonts w:ascii="Wingdings" w:hAnsi="Wingdings" w:cs="Wingdings" w:hint="default"/>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1">
    <w:lvl w:ilvl="0">
      <w:start w:val="1"/>
      <w:numFmt w:val="bullet"/>
      <w:lvlText w:val=""/>
      <w:lvlJc w:val="start"/>
      <w:pPr>
        <w:tabs>
          <w:tab w:val="num" w:pos="648"/>
        </w:tabs>
        <w:ind w:start="648" w:hanging="360"/>
      </w:pPr>
      <w:rPr>
        <w:rFonts w:ascii="Wingdings" w:hAnsi="Wingdings" w:cs="Wingdings" w:hint="default"/>
      </w:rPr>
    </w:lvl>
  </w:abstractNum>
  <w:abstractNum w:abstractNumId="22">
    <w:lvl w:ilvl="0">
      <w:start w:val="1"/>
      <w:numFmt w:val="bullet"/>
      <w:lvlText w:val=""/>
      <w:lvlJc w:val="start"/>
      <w:pPr>
        <w:tabs>
          <w:tab w:val="num" w:pos="360"/>
        </w:tabs>
        <w:ind w:start="288" w:hanging="288"/>
      </w:pPr>
      <w:rPr>
        <w:rFonts w:ascii="Wingdings" w:hAnsi="Wingdings" w:cs="Wingdings" w:hint="default"/>
      </w:rPr>
    </w:lvl>
  </w:abstractNum>
  <w:abstractNum w:abstractNumId="23">
    <w:lvl w:ilvl="0">
      <w:start w:val="2"/>
      <w:numFmt w:val="decimal"/>
      <w:lvlText w:val="%1."/>
      <w:lvlJc w:val="start"/>
      <w:pPr>
        <w:tabs>
          <w:tab w:val="num" w:pos="2340"/>
        </w:tabs>
        <w:ind w:start="234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4">
    <w:lvl w:ilvl="0">
      <w:start w:val="3"/>
      <w:numFmt w:val="decimal"/>
      <w:lvlText w:val="%1."/>
      <w:lvlJc w:val="start"/>
      <w:pPr>
        <w:tabs>
          <w:tab w:val="num" w:pos="1440"/>
        </w:tabs>
        <w:ind w:start="1440" w:hanging="360"/>
      </w:pPr>
      <w:rPr/>
    </w:lvl>
  </w:abstractNum>
  <w:abstractNum w:abstractNumId="25">
    <w:lvl w:ilvl="0">
      <w:start w:val="3"/>
      <w:numFmt w:val="decimal"/>
      <w:lvlText w:val="%1."/>
      <w:lvlJc w:val="start"/>
      <w:pPr>
        <w:tabs>
          <w:tab w:val="num" w:pos="360"/>
        </w:tabs>
        <w:ind w:start="360" w:hanging="360"/>
      </w:pPr>
      <w:rPr/>
    </w:lvl>
  </w:abstractNum>
  <w:abstractNum w:abstractNumId="26">
    <w:lvl w:ilvl="0">
      <w:start w:val="1"/>
      <w:numFmt w:val="bullet"/>
      <w:lvlText w:val=""/>
      <w:lvlJc w:val="start"/>
      <w:pPr>
        <w:tabs>
          <w:tab w:val="num" w:pos="6480"/>
        </w:tabs>
        <w:ind w:start="6408" w:hanging="288"/>
      </w:pPr>
      <w:rPr>
        <w:rFonts w:ascii="Wingdings" w:hAnsi="Wingdings" w:cs="Wingdings" w:hint="default"/>
      </w:rPr>
    </w:lvl>
  </w:abstractNum>
  <w:abstractNum w:abstractNumId="27">
    <w:lvl w:ilvl="0">
      <w:start w:val="1"/>
      <w:numFmt w:val="decimal"/>
      <w:lvlText w:val="%1."/>
      <w:lvlJc w:val="start"/>
      <w:pPr>
        <w:tabs>
          <w:tab w:val="num" w:pos="6480"/>
        </w:tabs>
        <w:ind w:start="6480" w:hanging="360"/>
      </w:pPr>
    </w:lvl>
  </w:abstractNum>
  <w:abstractNum w:abstractNumId="28">
    <w:lvl w:ilvl="0">
      <w:start w:val="1"/>
      <w:numFmt w:val="bullet"/>
      <w:lvlText w:val=""/>
      <w:lvlJc w:val="start"/>
      <w:pPr>
        <w:tabs>
          <w:tab w:val="num" w:pos="648"/>
        </w:tabs>
        <w:ind w:start="648"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448"/>
        </w:tabs>
        <w:ind w:start="2448" w:hanging="360"/>
      </w:pPr>
      <w:rPr>
        <w:rFonts w:ascii="Wingdings" w:hAnsi="Wingdings" w:cs="Wingdings" w:hint="default"/>
      </w:rPr>
    </w:lvl>
    <w:lvl w:ilvl="3">
      <w:start w:val="1"/>
      <w:numFmt w:val="bullet"/>
      <w:lvlText w:val=""/>
      <w:lvlJc w:val="start"/>
      <w:pPr>
        <w:tabs>
          <w:tab w:val="num" w:pos="3168"/>
        </w:tabs>
        <w:ind w:start="3168" w:hanging="360"/>
      </w:pPr>
      <w:rPr>
        <w:rFonts w:ascii="Symbol" w:hAnsi="Symbol" w:cs="Symbol" w:hint="default"/>
      </w:rPr>
    </w:lvl>
    <w:lvl w:ilvl="4">
      <w:start w:val="1"/>
      <w:numFmt w:val="bullet"/>
      <w:lvlText w:val="o"/>
      <w:lvlJc w:val="start"/>
      <w:pPr>
        <w:tabs>
          <w:tab w:val="num" w:pos="3888"/>
        </w:tabs>
        <w:ind w:start="3888" w:hanging="360"/>
      </w:pPr>
      <w:rPr>
        <w:rFonts w:ascii="Courier New" w:hAnsi="Courier New" w:cs="Courier New" w:hint="default"/>
      </w:rPr>
    </w:lvl>
    <w:lvl w:ilvl="5">
      <w:start w:val="1"/>
      <w:numFmt w:val="bullet"/>
      <w:lvlText w:val=""/>
      <w:lvlJc w:val="start"/>
      <w:pPr>
        <w:tabs>
          <w:tab w:val="num" w:pos="4608"/>
        </w:tabs>
        <w:ind w:start="4608" w:hanging="360"/>
      </w:pPr>
      <w:rPr>
        <w:rFonts w:ascii="Wingdings" w:hAnsi="Wingdings" w:cs="Wingdings" w:hint="default"/>
      </w:rPr>
    </w:lvl>
    <w:lvl w:ilvl="6">
      <w:start w:val="1"/>
      <w:numFmt w:val="bullet"/>
      <w:lvlText w:val=""/>
      <w:lvlJc w:val="start"/>
      <w:pPr>
        <w:tabs>
          <w:tab w:val="num" w:pos="5328"/>
        </w:tabs>
        <w:ind w:start="5328" w:hanging="360"/>
      </w:pPr>
      <w:rPr>
        <w:rFonts w:ascii="Symbol" w:hAnsi="Symbol" w:cs="Symbol" w:hint="default"/>
      </w:rPr>
    </w:lvl>
    <w:lvl w:ilvl="7">
      <w:start w:val="1"/>
      <w:numFmt w:val="bullet"/>
      <w:lvlText w:val="o"/>
      <w:lvlJc w:val="start"/>
      <w:pPr>
        <w:tabs>
          <w:tab w:val="num" w:pos="6048"/>
        </w:tabs>
        <w:ind w:start="6048" w:hanging="360"/>
      </w:pPr>
      <w:rPr>
        <w:rFonts w:ascii="Courier New" w:hAnsi="Courier New" w:cs="Courier New" w:hint="default"/>
      </w:rPr>
    </w:lvl>
    <w:lvl w:ilvl="8">
      <w:start w:val="1"/>
      <w:numFmt w:val="bullet"/>
      <w:lvlText w:val=""/>
      <w:lvlJc w:val="start"/>
      <w:pPr>
        <w:tabs>
          <w:tab w:val="num" w:pos="6768"/>
        </w:tabs>
        <w:ind w:start="6768"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i/>
      <w:iCs/>
      <w:sz w:val="20"/>
    </w:rPr>
  </w:style>
  <w:style w:type="paragraph" w:styleId="Heading2">
    <w:name w:val="heading 2"/>
    <w:basedOn w:val="Normal"/>
    <w:next w:val="Normal"/>
    <w:qFormat/>
    <w:pPr>
      <w:keepNext w:val="true"/>
      <w:numPr>
        <w:ilvl w:val="1"/>
        <w:numId w:val="1"/>
      </w:numPr>
      <w:outlineLvl w:val="1"/>
    </w:pPr>
    <w:rPr>
      <w:b/>
      <w:bCs/>
      <w:i/>
      <w:iCs/>
      <w:color w:val="000000"/>
      <w:sz w:val="20"/>
      <w:szCs w:val="14"/>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style>
  <w:style w:type="character" w:styleId="WW8Num6z1">
    <w:name w:val="WW8Num6z1"/>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rPr>
  </w:style>
  <w:style w:type="character" w:styleId="WW8Num8z1">
    <w:name w:val="WW8Num8z1"/>
    <w:qFormat/>
    <w:rPr/>
  </w:style>
  <w:style w:type="character" w:styleId="WW8Num9z0">
    <w:name w:val="WW8Num9z0"/>
    <w:qFormat/>
    <w:rPr/>
  </w:style>
  <w:style w:type="character" w:styleId="WW8Num9z1">
    <w:name w:val="WW8Num9z1"/>
    <w:qFormat/>
    <w:rPr>
      <w:rFonts w:ascii="Wingdings" w:hAnsi="Wingdings" w:cs="Wingdings"/>
    </w:rPr>
  </w:style>
  <w:style w:type="character" w:styleId="WW8Num10z1">
    <w:name w:val="WW8Num10z1"/>
    <w:qFormat/>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style>
  <w:style w:type="character" w:styleId="WW8Num20z1">
    <w:name w:val="WW8Num20z1"/>
    <w:qFormat/>
    <w:rPr>
      <w:rFonts w:ascii="Wingdings" w:hAnsi="Wingdings" w:cs="Wingdings"/>
    </w:rPr>
  </w:style>
  <w:style w:type="character" w:styleId="WW8Num21z0">
    <w:name w:val="WW8Num21z0"/>
    <w:qFormat/>
    <w:rPr>
      <w:rFonts w:ascii="Wingdings" w:hAnsi="Wingdings" w:cs="Wingdings"/>
    </w:rPr>
  </w:style>
  <w:style w:type="character" w:styleId="WW8Num21z1">
    <w:name w:val="WW8Num21z1"/>
    <w:qFormat/>
    <w:rPr/>
  </w:style>
  <w:style w:type="character" w:styleId="WW8Num22z0">
    <w:name w:val="WW8Num22z0"/>
    <w:qFormat/>
    <w:rPr/>
  </w:style>
  <w:style w:type="character" w:styleId="WW8Num23z0">
    <w:name w:val="WW8Num23z0"/>
    <w:qFormat/>
    <w:rPr>
      <w:rFonts w:ascii="Wingdings" w:hAnsi="Wingdings" w:cs="Wingdings"/>
    </w:rPr>
  </w:style>
  <w:style w:type="character" w:styleId="WW8Num23z3">
    <w:name w:val="WW8Num23z3"/>
    <w:qFormat/>
    <w:rPr>
      <w:rFonts w:ascii="Symbol" w:hAnsi="Symbol" w:cs="Symbol"/>
    </w:rPr>
  </w:style>
  <w:style w:type="character" w:styleId="WW8Num23z4">
    <w:name w:val="WW8Num23z4"/>
    <w:qFormat/>
    <w:rPr>
      <w:rFonts w:ascii="Courier New" w:hAnsi="Courier New" w:cs="Courier New"/>
    </w:rPr>
  </w:style>
  <w:style w:type="character" w:styleId="WW8Num24z0">
    <w:name w:val="WW8Num24z0"/>
    <w:qFormat/>
    <w:rPr>
      <w:rFonts w:ascii="Wingdings" w:hAnsi="Wingdings" w:cs="Wingdings"/>
    </w:rPr>
  </w:style>
  <w:style w:type="character" w:styleId="WW8Num24z3">
    <w:name w:val="WW8Num24z3"/>
    <w:qFormat/>
    <w:rPr>
      <w:rFonts w:ascii="Symbol" w:hAnsi="Symbol" w:cs="Symbol"/>
    </w:rPr>
  </w:style>
  <w:style w:type="character" w:styleId="WW8Num24z4">
    <w:name w:val="WW8Num24z4"/>
    <w:qFormat/>
    <w:rPr>
      <w:rFonts w:ascii="Courier New" w:hAnsi="Courier New" w:cs="Courier New"/>
    </w:rPr>
  </w:style>
  <w:style w:type="character" w:styleId="WW8Num25z0">
    <w:name w:val="WW8Num25z0"/>
    <w:qFormat/>
    <w:rPr>
      <w:rFonts w:ascii="Wingdings" w:hAnsi="Wingdings" w:cs="Wingdings"/>
    </w:rPr>
  </w:style>
  <w:style w:type="character" w:styleId="WW8Num25z2">
    <w:name w:val="WW8Num25z2"/>
    <w:qFormat/>
    <w:rPr/>
  </w:style>
  <w:style w:type="character" w:styleId="WW8Num25z3">
    <w:name w:val="WW8Num25z3"/>
    <w:qFormat/>
    <w:rPr>
      <w:rFonts w:ascii="Symbol" w:hAnsi="Symbol" w:cs="Symbol"/>
    </w:rPr>
  </w:style>
  <w:style w:type="character" w:styleId="WW8Num25z4">
    <w:name w:val="WW8Num25z4"/>
    <w:qFormat/>
    <w:rPr>
      <w:rFonts w:ascii="Courier New" w:hAnsi="Courier New" w:cs="Courier New"/>
    </w:rPr>
  </w:style>
  <w:style w:type="character" w:styleId="WW8Num26z1">
    <w:name w:val="WW8Num26z1"/>
    <w:qFormat/>
    <w:rPr>
      <w:rFonts w:ascii="Wingdings" w:hAnsi="Wingdings" w:cs="Wingdings"/>
    </w:rPr>
  </w:style>
  <w:style w:type="character" w:styleId="WW8Num26z2">
    <w:name w:val="WW8Num26z2"/>
    <w:qFormat/>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style>
  <w:style w:type="character" w:styleId="WW8Num30z1">
    <w:name w:val="WW8Num30z1"/>
    <w:qFormat/>
    <w:rPr>
      <w:rFonts w:ascii="Wingdings" w:hAnsi="Wingdings" w:cs="Wingdings"/>
    </w:rPr>
  </w:style>
  <w:style w:type="character" w:styleId="WW8Num31z0">
    <w:name w:val="WW8Num31z0"/>
    <w:qFormat/>
    <w:rPr/>
  </w:style>
  <w:style w:type="character" w:styleId="WW8Num32z1">
    <w:name w:val="WW8Num32z1"/>
    <w:qFormat/>
    <w:rPr>
      <w:rFonts w:ascii="Wingdings" w:hAnsi="Wingdings" w:cs="Wingdings"/>
    </w:rPr>
  </w:style>
  <w:style w:type="character" w:styleId="WW8Num32z3">
    <w:name w:val="WW8Num32z3"/>
    <w:qFormat/>
    <w:rPr>
      <w:rFonts w:ascii="Symbol" w:hAnsi="Symbol" w:cs="Symbol"/>
    </w:rPr>
  </w:style>
  <w:style w:type="character" w:styleId="WW8Num32z4">
    <w:name w:val="WW8Num32z4"/>
    <w:qFormat/>
    <w:rPr>
      <w:rFonts w:ascii="Courier New" w:hAnsi="Courier New" w:cs="Courier New"/>
    </w:rPr>
  </w:style>
  <w:style w:type="character" w:styleId="WW8Num33z0">
    <w:name w:val="WW8Num33z0"/>
    <w:qFormat/>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cs="Wingdings"/>
    </w:rPr>
  </w:style>
  <w:style w:type="character" w:styleId="WW8Num34z3">
    <w:name w:val="WW8Num34z3"/>
    <w:qFormat/>
    <w:rPr>
      <w:rFonts w:ascii="Symbol" w:hAnsi="Symbol" w:cs="Symbol"/>
    </w:rPr>
  </w:style>
  <w:style w:type="character" w:styleId="WW8Num34z4">
    <w:name w:val="WW8Num34z4"/>
    <w:qFormat/>
    <w:rPr>
      <w:rFonts w:ascii="Courier New" w:hAnsi="Courier New" w:cs="Courier New"/>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Wingdings" w:hAnsi="Wingdings" w:cs="Wingdings"/>
    </w:rPr>
  </w:style>
  <w:style w:type="character" w:styleId="WW8Num37z3">
    <w:name w:val="WW8Num37z3"/>
    <w:qFormat/>
    <w:rPr>
      <w:rFonts w:ascii="Symbol" w:hAnsi="Symbol" w:cs="Symbol"/>
    </w:rPr>
  </w:style>
  <w:style w:type="character" w:styleId="WW8Num37z4">
    <w:name w:val="WW8Num37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ind w:hanging="0" w:start="1440" w:end="0"/>
    </w:pPr>
    <w:rPr>
      <w:color w:val="000000"/>
      <w:sz w:val="20"/>
      <w:szCs w:val="20"/>
    </w:rPr>
  </w:style>
  <w:style w:type="paragraph" w:styleId="BodyTextIndent2">
    <w:name w:val="Body Text Indent 2"/>
    <w:basedOn w:val="Normal"/>
    <w:qFormat/>
    <w:pPr>
      <w:ind w:hanging="0" w:start="540" w:end="0"/>
    </w:pPr>
    <w:rPr>
      <w:color w:val="000000"/>
      <w:sz w:val="20"/>
      <w:szCs w:val="14"/>
    </w:rPr>
  </w:style>
  <w:style w:type="paragraph" w:styleId="BodyTextIndent3">
    <w:name w:val="Body Text Indent 3"/>
    <w:basedOn w:val="Normal"/>
    <w:qFormat/>
    <w:pPr>
      <w:ind w:hanging="0" w:start="360" w:end="0"/>
    </w:pPr>
    <w:rPr>
      <w:color w:val="000000"/>
      <w:sz w:val="20"/>
      <w:szCs w:val="1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2001-01-02T12:42:00Z</dcterms:created>
  <dc:creator>jdasovic</dc:creator>
  <dc:description/>
  <dc:language>en-CA</dc:language>
  <cp:lastModifiedBy>jdasovic</cp:lastModifiedBy>
  <cp:lastPrinted>2001-01-02T16:49:00Z</cp:lastPrinted>
  <dcterms:modified xsi:type="dcterms:W3CDTF">2001-01-02T20:53:00Z</dcterms:modified>
  <cp:revision>32</cp:revision>
  <dc:subject/>
  <dc:title>ü</dc:title>
</cp:coreProperties>
</file>