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Caption"/>
        <w:rPr/>
      </w:pPr>
      <w:r>
        <w:rPr>
          <w:caps/>
        </w:rPr>
        <w:t>Diane E. Pritchard (S</w:t>
      </w:r>
      <w:r>
        <w:rPr/>
        <w:t xml:space="preserve">tate </w:t>
      </w:r>
      <w:r>
        <w:rPr>
          <w:caps/>
        </w:rPr>
        <w:t>B</w:t>
      </w:r>
      <w:r>
        <w:rPr/>
        <w:t>ar</w:t>
      </w:r>
      <w:r>
        <w:rPr>
          <w:caps/>
        </w:rPr>
        <w:t xml:space="preserve"> N</w:t>
      </w:r>
      <w:r>
        <w:rPr/>
        <w:t>o</w:t>
      </w:r>
      <w:r>
        <w:rPr>
          <w:caps/>
        </w:rPr>
        <w:t>. 96999)</w:t>
      </w:r>
    </w:p>
    <w:p>
      <w:pPr>
        <w:pStyle w:val="PleadingCaption"/>
        <w:rPr/>
      </w:pPr>
      <w:r>
        <w:rPr>
          <w:caps/>
        </w:rPr>
        <w:t>Morrison &amp; Foerster</w:t>
      </w:r>
      <w:r>
        <w:rPr>
          <w:smallCaps/>
        </w:rPr>
        <w:t xml:space="preserve"> llp</w:t>
      </w:r>
    </w:p>
    <w:p>
      <w:pPr>
        <w:pStyle w:val="PleadingCaption"/>
        <w:rPr/>
      </w:pPr>
      <w:r>
        <w:rPr/>
        <w:t>425 Market Street</w:t>
      </w:r>
    </w:p>
    <w:p>
      <w:pPr>
        <w:pStyle w:val="PleadingCaption"/>
        <w:rPr/>
      </w:pPr>
      <w:r>
        <w:rPr/>
        <w:t>San Francisco, California 94105-2482</w:t>
      </w:r>
    </w:p>
    <w:p>
      <w:pPr>
        <w:pStyle w:val="PleadingCaption"/>
        <w:rPr/>
      </w:pPr>
      <w:r>
        <w:rPr/>
        <w:t>Telephone:  (415) 268-7000</w:t>
      </w:r>
    </w:p>
    <w:p>
      <w:pPr>
        <w:pStyle w:val="PleadingCaption"/>
        <w:rPr/>
      </w:pPr>
      <w:r>
        <w:rPr/>
        <w:t>Facsimile:  (415) 268-7522</w:t>
      </w:r>
    </w:p>
    <w:p>
      <w:pPr>
        <w:pStyle w:val="PleadingCaption"/>
        <w:rPr/>
      </w:pPr>
      <w:r>
        <w:rPr/>
      </w:r>
    </w:p>
    <w:p>
      <w:pPr>
        <w:pStyle w:val="PleadingCaption"/>
        <w:rPr/>
      </w:pPr>
      <w:r>
        <w:rPr>
          <w:caps/>
        </w:rPr>
        <w:t>GORDON P. ERSPAMER (</w:t>
      </w:r>
      <w:r>
        <w:rPr/>
        <w:t>State Bar No</w:t>
      </w:r>
      <w:r>
        <w:rPr>
          <w:caps/>
        </w:rPr>
        <w:t>. 83364)</w:t>
      </w:r>
    </w:p>
    <w:p>
      <w:pPr>
        <w:pStyle w:val="PleadingCaption"/>
        <w:rPr/>
      </w:pPr>
      <w:r>
        <w:rPr>
          <w:caps/>
        </w:rPr>
        <w:t>ANDREW B. SABEY (</w:t>
      </w:r>
      <w:r>
        <w:rPr/>
        <w:t>State Bar No</w:t>
      </w:r>
      <w:r>
        <w:rPr>
          <w:caps/>
        </w:rPr>
        <w:t>. 160416)</w:t>
      </w:r>
    </w:p>
    <w:p>
      <w:pPr>
        <w:pStyle w:val="PleadingCaption"/>
        <w:rPr>
          <w:caps/>
        </w:rPr>
      </w:pPr>
      <w:r>
        <w:rPr>
          <w:caps/>
        </w:rPr>
        <w:t xml:space="preserve">MORRISON &amp; FOERSTER </w:t>
      </w:r>
      <w:r>
        <w:rPr>
          <w:smallCaps/>
        </w:rPr>
        <w:t>llp</w:t>
      </w:r>
    </w:p>
    <w:p>
      <w:pPr>
        <w:pStyle w:val="PleadingCaption"/>
        <w:rPr/>
      </w:pPr>
      <w:r>
        <w:rPr>
          <w:caps/>
        </w:rPr>
        <w:t>101</w:t>
      </w:r>
      <w:r>
        <w:rPr/>
        <w:t xml:space="preserve"> Ygnacio Valley Road, Suite 450</w:t>
      </w:r>
    </w:p>
    <w:p>
      <w:pPr>
        <w:pStyle w:val="PleadingCaption"/>
        <w:rPr/>
      </w:pPr>
      <w:r>
        <w:rPr/>
        <w:t>P.O. Box 8130</w:t>
      </w:r>
    </w:p>
    <w:p>
      <w:pPr>
        <w:pStyle w:val="PleadingCaption"/>
        <w:rPr>
          <w:caps/>
        </w:rPr>
      </w:pPr>
      <w:r>
        <w:rPr/>
        <w:t>Walnut Creek, California  94596-8130</w:t>
      </w:r>
    </w:p>
    <w:p>
      <w:pPr>
        <w:pStyle w:val="PleadingCaption"/>
        <w:rPr/>
      </w:pPr>
      <w:r>
        <w:rPr/>
        <w:t xml:space="preserve">Telephone:  </w:t>
      </w:r>
      <w:r>
        <w:rPr>
          <w:caps/>
        </w:rPr>
        <w:t>(925) 295-3300</w:t>
      </w:r>
    </w:p>
    <w:p>
      <w:pPr>
        <w:pStyle w:val="PleadingCaption"/>
        <w:rPr/>
      </w:pPr>
      <w:r>
        <w:rPr/>
        <w:t>Facsimile:  (925) 946-9912</w:t>
      </w:r>
    </w:p>
    <w:p>
      <w:pPr>
        <w:pStyle w:val="PleadingCaption"/>
        <w:rPr>
          <w:caps/>
        </w:rPr>
      </w:pPr>
      <w:r>
        <w:rPr>
          <w:caps/>
        </w:rPr>
      </w:r>
    </w:p>
    <w:p>
      <w:pPr>
        <w:pStyle w:val="PleadingCaption"/>
        <w:rPr/>
      </w:pPr>
      <w:r>
        <w:rPr/>
        <w:t>Attorneys for Plaintiff</w:t>
      </w:r>
    </w:p>
    <w:p>
      <w:pPr>
        <w:pStyle w:val="Client"/>
        <w:rPr/>
      </w:pPr>
      <w:r>
        <w:rPr/>
        <w:t>AVISTA ENERGY, INC.</w:t>
      </w:r>
    </w:p>
    <w:p>
      <w:pPr>
        <w:pStyle w:val="PleadingCaption"/>
        <w:rPr/>
      </w:pPr>
      <w:r>
        <w:rPr/>
      </w:r>
    </w:p>
    <w:p>
      <w:pPr>
        <w:pStyle w:val="Court"/>
        <w:rPr/>
      </w:pPr>
      <w:r>
        <w:rPr/>
        <w:t>UNITED STATES DISTRICT COURT</w:t>
        <w:br/>
        <w:br/>
        <w:t>CENTRAL DISTRICT OF CALIFORNIA</w:t>
      </w:r>
    </w:p>
    <w:p>
      <w:pPr>
        <w:pStyle w:val="PleadingCaption"/>
        <w:rPr/>
      </w:pPr>
      <w:r>
        <w:rPr/>
      </w:r>
    </w:p>
    <w:p>
      <w:pPr>
        <w:pStyle w:val="PleadingCaption"/>
        <w:rPr/>
      </w:pPr>
      <w:r>
        <w:rPr/>
      </w:r>
    </w:p>
    <w:p>
      <w:pPr>
        <w:pStyle w:val="PleadingCaption"/>
        <w:rPr/>
      </w:pPr>
      <w:r>
        <w:rPr/>
      </w:r>
    </w:p>
    <w:tbl>
      <w:tblPr>
        <w:tblW w:w="9693" w:type="dxa"/>
        <w:jc w:val="start"/>
        <w:tblInd w:w="0" w:type="dxa"/>
        <w:tblLayout w:type="fixed"/>
        <w:tblCellMar>
          <w:top w:w="0" w:type="dxa"/>
          <w:start w:w="108" w:type="dxa"/>
          <w:bottom w:w="0" w:type="dxa"/>
          <w:end w:w="108" w:type="dxa"/>
        </w:tblCellMar>
      </w:tblPr>
      <w:tblGrid>
        <w:gridCol w:w="5058"/>
        <w:gridCol w:w="4635"/>
      </w:tblGrid>
      <w:tr>
        <w:trPr/>
        <w:tc>
          <w:tcPr>
            <w:tcW w:w="5058" w:type="dxa"/>
            <w:tcBorders>
              <w:bottom w:val="single" w:sz="6" w:space="0" w:color="000000"/>
              <w:end w:val="single" w:sz="6" w:space="0" w:color="000000"/>
            </w:tcBorders>
          </w:tcPr>
          <w:p>
            <w:pPr>
              <w:pStyle w:val="PleadingCaption"/>
              <w:tabs>
                <w:tab w:val="clear" w:pos="2707"/>
                <w:tab w:val="left" w:pos="1066" w:leader="none"/>
                <w:tab w:val="left" w:pos="2340" w:leader="none"/>
                <w:tab w:val="right" w:pos="9360" w:leader="none"/>
              </w:tabs>
              <w:rPr>
                <w:caps/>
              </w:rPr>
            </w:pPr>
            <w:r>
              <w:rPr>
                <w:caps/>
              </w:rPr>
              <w:t xml:space="preserve">Avista energy, Inc., </w:t>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left" w:pos="2970" w:leader="none"/>
                <w:tab w:val="right" w:pos="9360" w:leader="none"/>
              </w:tabs>
              <w:rPr/>
            </w:pPr>
            <w:r>
              <w:rPr/>
              <w:tab/>
              <w:tab/>
              <w:t>Plaintiff,</w:t>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450" w:leader="none"/>
                <w:tab w:val="left" w:pos="1066" w:leader="none"/>
                <w:tab w:val="left" w:pos="2340" w:leader="none"/>
                <w:tab w:val="right" w:pos="9360" w:leader="none"/>
              </w:tabs>
              <w:rPr/>
            </w:pPr>
            <w:r>
              <w:rPr/>
              <w:tab/>
              <w:t>vs.</w:t>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right" w:pos="9360" w:leader="none"/>
              </w:tabs>
              <w:rPr/>
            </w:pPr>
            <w:r>
              <w:rPr/>
              <w:t>CALIFORNIA POWER EXCHANGE CORPORATION,</w:t>
            </w:r>
          </w:p>
          <w:p>
            <w:pPr>
              <w:pStyle w:val="PleadingCaption"/>
              <w:tabs>
                <w:tab w:val="clear" w:pos="2707"/>
                <w:tab w:val="left" w:pos="1066" w:leader="none"/>
                <w:tab w:val="left" w:pos="2340" w:leader="none"/>
                <w:tab w:val="left" w:pos="3060" w:leader="none"/>
                <w:tab w:val="right" w:pos="9360" w:leader="none"/>
              </w:tabs>
              <w:rPr/>
            </w:pPr>
            <w:r>
              <w:rPr/>
            </w:r>
          </w:p>
          <w:p>
            <w:pPr>
              <w:pStyle w:val="PleadingCaption"/>
              <w:tabs>
                <w:tab w:val="clear" w:pos="2707"/>
                <w:tab w:val="left" w:pos="1066" w:leader="none"/>
                <w:tab w:val="left" w:pos="2340" w:leader="none"/>
                <w:tab w:val="left" w:pos="3060" w:leader="none"/>
                <w:tab w:val="right" w:pos="9360" w:leader="none"/>
              </w:tabs>
              <w:rPr/>
            </w:pPr>
            <w:r>
              <w:rPr/>
              <w:tab/>
              <w:tab/>
              <w:t>Defendant.</w:t>
            </w:r>
          </w:p>
          <w:p>
            <w:pPr>
              <w:pStyle w:val="PleadingCaption"/>
              <w:rPr/>
            </w:pPr>
            <w:r>
              <w:rPr/>
            </w:r>
          </w:p>
        </w:tc>
        <w:tc>
          <w:tcPr>
            <w:tcW w:w="4635" w:type="dxa"/>
            <w:tcBorders/>
          </w:tcPr>
          <w:p>
            <w:pPr>
              <w:pStyle w:val="PleadingCaption"/>
              <w:tabs>
                <w:tab w:val="clear" w:pos="1066"/>
                <w:tab w:val="clear" w:pos="2707"/>
                <w:tab w:val="left" w:pos="1152" w:leader="none"/>
                <w:tab w:val="right" w:pos="9360" w:leader="none"/>
              </w:tabs>
              <w:ind w:start="72" w:end="0"/>
              <w:rPr/>
            </w:pPr>
            <w:r>
              <w:rPr/>
              <w:t>CASE NO. CV 01-01244 MMM (Mcx)</w:t>
            </w:r>
          </w:p>
          <w:p>
            <w:pPr>
              <w:pStyle w:val="PleadingCaption"/>
              <w:tabs>
                <w:tab w:val="clear" w:pos="1066"/>
                <w:tab w:val="clear" w:pos="2707"/>
                <w:tab w:val="left" w:pos="1152" w:leader="none"/>
                <w:tab w:val="right" w:pos="9360" w:leader="none"/>
              </w:tabs>
              <w:ind w:start="72" w:end="0"/>
              <w:rPr/>
            </w:pPr>
            <w:r>
              <w:rPr/>
            </w:r>
          </w:p>
          <w:p>
            <w:pPr>
              <w:pStyle w:val="PleadingCaption"/>
              <w:tabs>
                <w:tab w:val="clear" w:pos="1066"/>
                <w:tab w:val="left" w:pos="1152" w:leader="none"/>
                <w:tab w:val="left" w:pos="2707" w:leader="none"/>
                <w:tab w:val="right" w:pos="9360" w:leader="none"/>
              </w:tabs>
              <w:ind w:start="72" w:end="0"/>
              <w:rPr>
                <w:b/>
                <w:caps/>
              </w:rPr>
            </w:pPr>
            <w:r>
              <w:rPr>
                <w:b/>
                <w:caps/>
              </w:rPr>
              <w:t>avista energy’s MEMORANDUM OF POINTS AND AUTHORITIES IN SUPPORT OF APPLICATION FOR TEMPORARY RESTRAINING ORDER AND motion for PRELIMINARY INJUNCTION</w:t>
            </w:r>
          </w:p>
          <w:p>
            <w:pPr>
              <w:pStyle w:val="PleadingCaption"/>
              <w:tabs>
                <w:tab w:val="clear" w:pos="1066"/>
                <w:tab w:val="left" w:pos="1152" w:leader="none"/>
                <w:tab w:val="left" w:pos="2707" w:leader="none"/>
                <w:tab w:val="right" w:pos="9360" w:leader="none"/>
              </w:tabs>
              <w:ind w:start="162" w:end="0"/>
              <w:rPr>
                <w:b/>
                <w:caps/>
              </w:rPr>
            </w:pPr>
            <w:r>
              <w:rPr>
                <w:b/>
                <w:caps/>
              </w:rPr>
            </w:r>
          </w:p>
          <w:p>
            <w:pPr>
              <w:pStyle w:val="PleadingCaption"/>
              <w:tabs>
                <w:tab w:val="clear" w:pos="1066"/>
                <w:tab w:val="left" w:pos="1152" w:leader="none"/>
                <w:tab w:val="left" w:pos="2707" w:leader="none"/>
                <w:tab w:val="right" w:pos="9360" w:leader="none"/>
              </w:tabs>
              <w:ind w:start="162" w:end="0"/>
              <w:rPr>
                <w:b/>
                <w:caps/>
              </w:rPr>
            </w:pPr>
            <w:r>
              <w:rPr>
                <w:b/>
                <w:caps/>
              </w:rPr>
            </w:r>
          </w:p>
        </w:tc>
      </w:tr>
    </w:tbl>
    <w:p>
      <w:pPr>
        <w:sectPr>
          <w:headerReference w:type="default" r:id="rId2"/>
          <w:footerReference w:type="default" r:id="rId3"/>
          <w:type w:val="nextPage"/>
          <w:pgSz w:w="12240" w:h="15840"/>
          <w:pgMar w:left="2088" w:right="720" w:gutter="0" w:header="475" w:top="1267" w:footer="504" w:bottom="1325"/>
          <w:pgNumType w:start="1" w:fmt="decimal"/>
          <w:formProt w:val="false"/>
          <w:textDirection w:val="lrTb"/>
          <w:docGrid w:type="default" w:linePitch="360" w:charSpace="0"/>
        </w:sectPr>
        <w:pStyle w:val="Normal"/>
        <w:rPr/>
      </w:pPr>
      <w:r>
        <w:rPr/>
      </w:r>
    </w:p>
    <w:p>
      <w:pPr>
        <w:pStyle w:val="Heading"/>
        <w:spacing w:before="0" w:after="0"/>
        <w:rPr/>
      </w:pPr>
      <w:r>
        <w:rPr/>
        <w:t>TABLE OF CONTENTS</w:t>
      </w: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r>
            <w:rPr/>
            <w:t>I.</w:t>
            <w:tab/>
            <w:t>INTRODUCTION</w:t>
            <w:tab/>
          </w:r>
          <w:hyperlink w:anchor="__RefHeading___Toc506271213">
            <w:r>
              <w:rPr>
                <w:rStyle w:val="IndexLink"/>
              </w:rPr>
              <w:t>1</w:t>
            </w:r>
          </w:hyperlink>
        </w:p>
        <w:p>
          <w:pPr>
            <w:pStyle w:val="TOC1"/>
            <w:rPr/>
          </w:pPr>
          <w:r>
            <w:rPr/>
            <w:t>II.</w:t>
            <w:tab/>
            <w:t>FACTUAL BACKGROUND</w:t>
            <w:tab/>
          </w:r>
          <w:hyperlink w:anchor="__RefHeading___Toc506271214">
            <w:r>
              <w:rPr>
                <w:rStyle w:val="IndexLink"/>
              </w:rPr>
              <w:t>6</w:t>
            </w:r>
          </w:hyperlink>
        </w:p>
        <w:p>
          <w:pPr>
            <w:pStyle w:val="TOC2"/>
            <w:rPr/>
          </w:pPr>
          <w:r>
            <w:rPr/>
            <w:t>A.</w:t>
            <w:tab/>
            <w:t>The CalPX’s Function As A Wholesale Electricity Market</w:t>
            <w:tab/>
          </w:r>
          <w:hyperlink w:anchor="__RefHeading___Toc506271215">
            <w:r>
              <w:rPr>
                <w:rStyle w:val="IndexLink"/>
              </w:rPr>
              <w:t>6</w:t>
            </w:r>
          </w:hyperlink>
        </w:p>
        <w:p>
          <w:pPr>
            <w:pStyle w:val="TOC2"/>
            <w:rPr/>
          </w:pPr>
          <w:r>
            <w:rPr/>
            <w:t>B.</w:t>
            <w:tab/>
            <w:t>The CalPX’s Obligations Under the Participation Agreement and CalPX Tariff To Obtain Adequate Collateral and To Monitor the Creditworthiness and Solvency of CalPX Participants</w:t>
            <w:tab/>
          </w:r>
          <w:hyperlink w:anchor="__RefHeading___Toc506271216">
            <w:r>
              <w:rPr>
                <w:rStyle w:val="IndexLink"/>
              </w:rPr>
              <w:t>7</w:t>
            </w:r>
          </w:hyperlink>
        </w:p>
        <w:p>
          <w:pPr>
            <w:pStyle w:val="TOC2"/>
            <w:rPr/>
          </w:pPr>
          <w:r>
            <w:rPr/>
            <w:t>C.</w:t>
            <w:tab/>
            <w:t>The CalPX’s Obligation To Execute On Security If a Participant Defaults and To Exercise Due Care</w:t>
            <w:tab/>
          </w:r>
          <w:hyperlink w:anchor="__RefHeading___Toc506271217">
            <w:r>
              <w:rPr>
                <w:rStyle w:val="IndexLink"/>
              </w:rPr>
              <w:t>8</w:t>
            </w:r>
          </w:hyperlink>
        </w:p>
        <w:p>
          <w:pPr>
            <w:pStyle w:val="TOC2"/>
            <w:rPr/>
          </w:pPr>
          <w:r>
            <w:rPr/>
            <w:t>D.</w:t>
            <w:tab/>
            <w:t>The SCE and PG&amp;E Defaults</w:t>
            <w:tab/>
          </w:r>
          <w:hyperlink w:anchor="__RefHeading___Toc506271218">
            <w:r>
              <w:rPr>
                <w:rStyle w:val="IndexLink"/>
              </w:rPr>
              <w:t>10</w:t>
            </w:r>
          </w:hyperlink>
        </w:p>
        <w:p>
          <w:pPr>
            <w:pStyle w:val="TOC2"/>
            <w:rPr/>
          </w:pPr>
          <w:r>
            <w:rPr/>
            <w:t>E.</w:t>
            <w:tab/>
            <w:t>Public Evidence of SCE’s and PG&amp;E’s Financial Extremis</w:t>
            <w:tab/>
          </w:r>
          <w:hyperlink w:anchor="__RefHeading___Toc506271219">
            <w:r>
              <w:rPr>
                <w:rStyle w:val="IndexLink"/>
              </w:rPr>
              <w:t>11</w:t>
            </w:r>
          </w:hyperlink>
        </w:p>
        <w:p>
          <w:pPr>
            <w:pStyle w:val="TOC2"/>
            <w:rPr/>
          </w:pPr>
          <w:r>
            <w:rPr/>
            <w:t>F.</w:t>
            <w:tab/>
            <w:t>The CalPX’s Violation of Its Duties After SCE’s Default</w:t>
            <w:tab/>
          </w:r>
          <w:hyperlink w:anchor="__RefHeading___Toc506271220">
            <w:r>
              <w:rPr>
                <w:rStyle w:val="IndexLink"/>
              </w:rPr>
              <w:t>11</w:t>
            </w:r>
          </w:hyperlink>
        </w:p>
        <w:p>
          <w:pPr>
            <w:pStyle w:val="TOC1"/>
            <w:rPr/>
          </w:pPr>
          <w:r>
            <w:rPr/>
            <w:t>III.</w:t>
            <w:tab/>
            <w:t>ARGUMENT</w:t>
            <w:tab/>
          </w:r>
          <w:hyperlink w:anchor="__RefHeading___Toc506271221">
            <w:r>
              <w:rPr>
                <w:rStyle w:val="IndexLink"/>
              </w:rPr>
              <w:t>15</w:t>
            </w:r>
          </w:hyperlink>
        </w:p>
        <w:p>
          <w:pPr>
            <w:pStyle w:val="TOC2"/>
            <w:rPr/>
          </w:pPr>
          <w:r>
            <w:rPr/>
            <w:t>A.</w:t>
            <w:tab/>
            <w:t>Avista Energy Is Likely To Succeed on the Merits Because The CalPX Has Breached and Is Breaching Its Contractual and Fiduciary Obligations, and Is Converting Avista Energy’s Property</w:t>
            <w:tab/>
          </w:r>
          <w:hyperlink w:anchor="__RefHeading___Toc506271222">
            <w:r>
              <w:rPr>
                <w:rStyle w:val="IndexLink"/>
              </w:rPr>
              <w:t>16</w:t>
            </w:r>
          </w:hyperlink>
        </w:p>
        <w:p>
          <w:pPr>
            <w:pStyle w:val="TOC2"/>
            <w:rPr/>
          </w:pPr>
          <w:r>
            <w:rPr/>
            <w:t>B.</w:t>
            <w:tab/>
            <w:t>Avista Energy Will Be Irreparably Harmed If The CalPX Is Not Immediately Enjoined From Proceeding Against Avista Energy and Its Collateral</w:t>
            <w:tab/>
          </w:r>
          <w:hyperlink w:anchor="__RefHeading___Toc506271223">
            <w:r>
              <w:rPr>
                <w:rStyle w:val="IndexLink"/>
              </w:rPr>
              <w:t>17</w:t>
            </w:r>
          </w:hyperlink>
        </w:p>
        <w:p>
          <w:pPr>
            <w:pStyle w:val="TOC1"/>
            <w:rPr/>
          </w:pPr>
          <w:r>
            <w:rPr/>
            <w:t>IV.</w:t>
            <w:tab/>
            <w:t>CONCLUSION</w:t>
            <w:tab/>
          </w:r>
          <w:hyperlink w:anchor="__RefHeading___Toc506271224">
            <w:r>
              <w:rPr>
                <w:rStyle w:val="IndexLink"/>
              </w:rPr>
              <w:t>23</w:t>
            </w:r>
          </w:hyperlink>
          <w:r>
            <w:rPr>
              <w:rStyle w:val="IndexLink"/>
            </w:rPr>
            <w:fldChar w:fldCharType="end"/>
          </w:r>
        </w:p>
      </w:sdtContent>
    </w:sdt>
    <w:p>
      <w:pPr>
        <w:pStyle w:val="BodyText"/>
        <w:tabs>
          <w:tab w:val="clear" w:pos="720"/>
          <w:tab w:val="right" w:pos="9360" w:leader="dot"/>
        </w:tabs>
        <w:ind w:end="792"/>
        <w:rPr/>
      </w:pPr>
      <w:r>
        <w:rPr/>
      </w:r>
      <w:r>
        <w:br w:type="page"/>
      </w:r>
    </w:p>
    <w:p>
      <w:pPr>
        <w:pStyle w:val="Heading"/>
        <w:spacing w:before="0" w:after="0"/>
        <w:rPr/>
      </w:pPr>
      <w:r>
        <w:rPr/>
        <w:t>table of authorities</w:t>
      </w:r>
    </w:p>
    <w:p>
      <w:pPr>
        <w:pStyle w:val="BodyText"/>
        <w:spacing w:before="0" w:after="240"/>
        <w:rPr/>
      </w:pPr>
      <w:r>
        <w:rPr/>
      </w:r>
    </w:p>
    <w:p>
      <w:pPr>
        <w:pStyle w:val="Normal"/>
        <w:tabs>
          <w:tab w:val="clear" w:pos="720"/>
          <w:tab w:val="right" w:pos="9360" w:leader="dot"/>
        </w:tabs>
        <w:ind w:hanging="244" w:start="244" w:end="0"/>
        <w:rPr/>
      </w:pPr>
      <w:r>
        <w:rPr>
          <w:i/>
        </w:rPr>
        <w:t>American Hosp. Supply Corp. v. Hosp. Prods. Ltd.</w:t>
      </w:r>
      <w:r>
        <w:rPr/>
        <w:t>,</w:t>
      </w:r>
    </w:p>
    <w:p>
      <w:pPr>
        <w:pStyle w:val="Normal"/>
        <w:tabs>
          <w:tab w:val="clear" w:pos="720"/>
          <w:tab w:val="right" w:pos="9360" w:leader="dot"/>
        </w:tabs>
        <w:ind w:start="244" w:end="0"/>
        <w:rPr/>
      </w:pPr>
      <w:r>
        <w:rPr/>
        <w:t>780 F. 2d 589 (7th Cir. 1986)</w:t>
        <w:tab/>
        <w:t>19</w:t>
      </w:r>
    </w:p>
    <w:p>
      <w:pPr>
        <w:pStyle w:val="Normal"/>
        <w:rPr/>
      </w:pPr>
      <w:r>
        <w:rPr/>
      </w:r>
    </w:p>
    <w:p>
      <w:pPr>
        <w:pStyle w:val="Normal"/>
        <w:tabs>
          <w:tab w:val="clear" w:pos="720"/>
          <w:tab w:val="right" w:pos="9360" w:leader="dot"/>
        </w:tabs>
        <w:ind w:hanging="244" w:start="244" w:end="0"/>
        <w:rPr/>
      </w:pPr>
      <w:r>
        <w:rPr>
          <w:i/>
        </w:rPr>
        <w:t>Apple Computer, Inc. v. Formula Int'l, Inc</w:t>
      </w:r>
      <w:r>
        <w:rPr/>
        <w:t>,</w:t>
      </w:r>
    </w:p>
    <w:p>
      <w:pPr>
        <w:pStyle w:val="Normal"/>
        <w:tabs>
          <w:tab w:val="clear" w:pos="720"/>
          <w:tab w:val="right" w:pos="9360" w:leader="dot"/>
        </w:tabs>
        <w:ind w:start="244" w:end="0"/>
        <w:rPr/>
      </w:pPr>
      <w:r>
        <w:rPr/>
        <w:t>562 F. Supp. 777 (C.D. Cal. 1993)</w:t>
        <w:tab/>
        <w:t>15</w:t>
      </w:r>
    </w:p>
    <w:p>
      <w:pPr>
        <w:pStyle w:val="Normal"/>
        <w:rPr/>
      </w:pPr>
      <w:r>
        <w:rPr/>
      </w:r>
    </w:p>
    <w:p>
      <w:pPr>
        <w:pStyle w:val="Normal"/>
        <w:tabs>
          <w:tab w:val="clear" w:pos="720"/>
          <w:tab w:val="right" w:pos="9360" w:leader="dot"/>
        </w:tabs>
        <w:ind w:hanging="244" w:start="244" w:end="0"/>
        <w:rPr/>
      </w:pPr>
      <w:r>
        <w:rPr>
          <w:i/>
        </w:rPr>
        <w:t>Brenntag Int'l Chemicals, Inc. v. Bank of India</w:t>
      </w:r>
      <w:r>
        <w:rPr/>
        <w:t>,</w:t>
      </w:r>
    </w:p>
    <w:p>
      <w:pPr>
        <w:pStyle w:val="Normal"/>
        <w:tabs>
          <w:tab w:val="clear" w:pos="720"/>
          <w:tab w:val="right" w:pos="9360" w:leader="dot"/>
        </w:tabs>
        <w:ind w:start="244" w:end="0"/>
        <w:rPr/>
      </w:pPr>
      <w:r>
        <w:rPr/>
        <w:t>175 F.3d 245 (2d Cir. 1999)</w:t>
        <w:tab/>
        <w:t>19, 21</w:t>
      </w:r>
    </w:p>
    <w:p>
      <w:pPr>
        <w:pStyle w:val="Normal"/>
        <w:rPr/>
      </w:pPr>
      <w:r>
        <w:rPr/>
      </w:r>
    </w:p>
    <w:p>
      <w:pPr>
        <w:pStyle w:val="Normal"/>
        <w:tabs>
          <w:tab w:val="clear" w:pos="720"/>
          <w:tab w:val="right" w:pos="9360" w:leader="dot"/>
        </w:tabs>
        <w:ind w:hanging="244" w:start="244" w:end="0"/>
        <w:rPr/>
      </w:pPr>
      <w:r>
        <w:rPr>
          <w:i/>
        </w:rPr>
        <w:t>Brown v. Hermann</w:t>
      </w:r>
      <w:r>
        <w:rPr/>
        <w:t>,</w:t>
      </w:r>
    </w:p>
    <w:p>
      <w:pPr>
        <w:pStyle w:val="Normal"/>
        <w:tabs>
          <w:tab w:val="clear" w:pos="720"/>
          <w:tab w:val="right" w:pos="9360" w:leader="dot"/>
        </w:tabs>
        <w:ind w:start="244" w:end="0"/>
        <w:rPr/>
      </w:pPr>
      <w:r>
        <w:rPr/>
        <w:t>551 F. Supp. 201 (N.D. Cal. 1982)</w:t>
        <w:tab/>
        <w:t>18</w:t>
      </w:r>
    </w:p>
    <w:p>
      <w:pPr>
        <w:pStyle w:val="Normal"/>
        <w:rPr/>
      </w:pPr>
      <w:r>
        <w:rPr/>
      </w:r>
    </w:p>
    <w:p>
      <w:pPr>
        <w:pStyle w:val="Normal"/>
        <w:tabs>
          <w:tab w:val="clear" w:pos="720"/>
          <w:tab w:val="right" w:pos="9360" w:leader="dot"/>
        </w:tabs>
        <w:ind w:hanging="244" w:start="244" w:end="0"/>
        <w:rPr/>
      </w:pPr>
      <w:r>
        <w:rPr>
          <w:i/>
        </w:rPr>
        <w:t>Continental Airlines, Inc. v. Intra Brokers, Inc.</w:t>
      </w:r>
      <w:r>
        <w:rPr/>
        <w:t>,</w:t>
      </w:r>
    </w:p>
    <w:p>
      <w:pPr>
        <w:pStyle w:val="Normal"/>
        <w:tabs>
          <w:tab w:val="clear" w:pos="720"/>
          <w:tab w:val="right" w:pos="9360" w:leader="dot"/>
        </w:tabs>
        <w:ind w:start="244" w:end="0"/>
        <w:rPr/>
      </w:pPr>
      <w:r>
        <w:rPr/>
        <w:t>24 F.3d 1099 (9th Cir. 1994)</w:t>
        <w:tab/>
        <w:t>20</w:t>
      </w:r>
    </w:p>
    <w:p>
      <w:pPr>
        <w:pStyle w:val="Normal"/>
        <w:rPr/>
      </w:pPr>
      <w:r>
        <w:rPr/>
      </w:r>
    </w:p>
    <w:p>
      <w:pPr>
        <w:pStyle w:val="Normal"/>
        <w:tabs>
          <w:tab w:val="clear" w:pos="720"/>
          <w:tab w:val="right" w:pos="9360" w:leader="dot"/>
        </w:tabs>
        <w:ind w:hanging="244" w:start="244" w:end="0"/>
        <w:rPr/>
      </w:pPr>
      <w:r>
        <w:rPr>
          <w:i/>
        </w:rPr>
        <w:t>Deckert v. Independence Shares Corp.</w:t>
      </w:r>
      <w:r>
        <w:rPr/>
        <w:t>,</w:t>
      </w:r>
    </w:p>
    <w:p>
      <w:pPr>
        <w:pStyle w:val="Normal"/>
        <w:tabs>
          <w:tab w:val="clear" w:pos="720"/>
          <w:tab w:val="right" w:pos="9360" w:leader="dot"/>
        </w:tabs>
        <w:ind w:start="244" w:end="0"/>
        <w:rPr/>
      </w:pPr>
      <w:r>
        <w:rPr/>
        <w:t>311 U.S. 282, 61 S.Ct. 229 (1940)</w:t>
        <w:tab/>
        <w:t>18</w:t>
      </w:r>
    </w:p>
    <w:p>
      <w:pPr>
        <w:pStyle w:val="Normal"/>
        <w:rPr/>
      </w:pPr>
      <w:r>
        <w:rPr/>
      </w:r>
    </w:p>
    <w:p>
      <w:pPr>
        <w:pStyle w:val="Normal"/>
        <w:tabs>
          <w:tab w:val="clear" w:pos="720"/>
          <w:tab w:val="right" w:pos="9360" w:leader="dot"/>
        </w:tabs>
        <w:ind w:hanging="244" w:start="244" w:end="0"/>
        <w:rPr/>
      </w:pPr>
      <w:r>
        <w:rPr>
          <w:i/>
        </w:rPr>
        <w:t>Federal Trade Comm'n v. Pannos Mining Co.</w:t>
      </w:r>
      <w:r>
        <w:rPr/>
        <w:t>,</w:t>
      </w:r>
    </w:p>
    <w:p>
      <w:pPr>
        <w:pStyle w:val="Normal"/>
        <w:tabs>
          <w:tab w:val="clear" w:pos="720"/>
          <w:tab w:val="right" w:pos="9360" w:leader="dot"/>
        </w:tabs>
        <w:ind w:start="244" w:end="0"/>
        <w:rPr/>
      </w:pPr>
      <w:r>
        <w:rPr/>
        <w:t>Civ. No. 88</w:t>
        <w:noBreakHyphen/>
        <w:t>06453 R, 1988 U.S. Dist. LEXIS 14358 (C.D. Cal. November 18, 1988)</w:t>
        <w:tab/>
        <w:t>18</w:t>
      </w:r>
    </w:p>
    <w:p>
      <w:pPr>
        <w:pStyle w:val="Normal"/>
        <w:rPr/>
      </w:pPr>
      <w:r>
        <w:rPr/>
      </w:r>
    </w:p>
    <w:p>
      <w:pPr>
        <w:pStyle w:val="Normal"/>
        <w:tabs>
          <w:tab w:val="clear" w:pos="720"/>
          <w:tab w:val="right" w:pos="9360" w:leader="dot"/>
        </w:tabs>
        <w:ind w:hanging="244" w:start="244" w:end="0"/>
        <w:rPr/>
      </w:pPr>
      <w:r>
        <w:rPr>
          <w:i/>
        </w:rPr>
        <w:t>Federated Strategic Income Fund v. Mechala Group Jamaica Ltd.</w:t>
      </w:r>
      <w:r>
        <w:rPr/>
        <w:t>,</w:t>
      </w:r>
    </w:p>
    <w:p>
      <w:pPr>
        <w:pStyle w:val="Normal"/>
        <w:tabs>
          <w:tab w:val="clear" w:pos="720"/>
          <w:tab w:val="right" w:pos="9360" w:leader="dot"/>
        </w:tabs>
        <w:ind w:start="244" w:end="0"/>
        <w:rPr/>
      </w:pPr>
      <w:r>
        <w:rPr/>
        <w:t>No. 99 Civ. 10517-HB, 1999 WL 993648, 1999 U.S. Dist. LEXIS 16996</w:t>
      </w:r>
    </w:p>
    <w:p>
      <w:pPr>
        <w:pStyle w:val="Normal"/>
        <w:tabs>
          <w:tab w:val="clear" w:pos="720"/>
          <w:tab w:val="right" w:pos="9360" w:leader="dot"/>
        </w:tabs>
        <w:ind w:start="244" w:end="0"/>
        <w:rPr/>
      </w:pPr>
      <w:r>
        <w:rPr/>
        <w:t>(S.D.N.Y. November 2, 1999)</w:t>
        <w:tab/>
        <w:t>19</w:t>
      </w:r>
    </w:p>
    <w:p>
      <w:pPr>
        <w:pStyle w:val="Normal"/>
        <w:rPr/>
      </w:pPr>
      <w:r>
        <w:rPr/>
      </w:r>
    </w:p>
    <w:p>
      <w:pPr>
        <w:pStyle w:val="Normal"/>
        <w:tabs>
          <w:tab w:val="clear" w:pos="720"/>
          <w:tab w:val="right" w:pos="9360" w:leader="dot"/>
        </w:tabs>
        <w:ind w:hanging="244" w:start="244" w:end="0"/>
        <w:rPr/>
      </w:pPr>
      <w:r>
        <w:rPr>
          <w:i/>
        </w:rPr>
        <w:t>Heckman v. Ahmanson</w:t>
      </w:r>
      <w:r>
        <w:rPr/>
        <w:t>,</w:t>
      </w:r>
    </w:p>
    <w:p>
      <w:pPr>
        <w:pStyle w:val="Normal"/>
        <w:tabs>
          <w:tab w:val="clear" w:pos="720"/>
          <w:tab w:val="right" w:pos="9360" w:leader="dot"/>
        </w:tabs>
        <w:ind w:start="244" w:end="0"/>
        <w:rPr/>
      </w:pPr>
      <w:r>
        <w:rPr/>
        <w:t>168 Cal. App. 3d 119 (1985)</w:t>
        <w:tab/>
        <w:t>18</w:t>
      </w:r>
    </w:p>
    <w:p>
      <w:pPr>
        <w:pStyle w:val="Normal"/>
        <w:rPr/>
      </w:pPr>
      <w:r>
        <w:rPr/>
      </w:r>
    </w:p>
    <w:p>
      <w:pPr>
        <w:pStyle w:val="Normal"/>
        <w:tabs>
          <w:tab w:val="clear" w:pos="720"/>
          <w:tab w:val="right" w:pos="9360" w:leader="dot"/>
        </w:tabs>
        <w:ind w:hanging="244" w:start="244" w:end="0"/>
        <w:rPr/>
      </w:pPr>
      <w:r>
        <w:rPr>
          <w:i/>
        </w:rPr>
        <w:t>Hilao v. Estate of Ferdinand Marcos</w:t>
      </w:r>
      <w:r>
        <w:rPr/>
        <w:t>,</w:t>
      </w:r>
    </w:p>
    <w:p>
      <w:pPr>
        <w:pStyle w:val="Normal"/>
        <w:tabs>
          <w:tab w:val="clear" w:pos="720"/>
          <w:tab w:val="right" w:pos="9360" w:leader="dot"/>
        </w:tabs>
        <w:ind w:start="244" w:end="0"/>
        <w:rPr/>
      </w:pPr>
      <w:r>
        <w:rPr/>
        <w:t>25 F.3d 1467 (9th Cir. 1994)</w:t>
        <w:tab/>
        <w:t>19</w:t>
      </w:r>
    </w:p>
    <w:p>
      <w:pPr>
        <w:pStyle w:val="Normal"/>
        <w:rPr/>
      </w:pPr>
      <w:r>
        <w:rPr/>
      </w:r>
    </w:p>
    <w:p>
      <w:pPr>
        <w:pStyle w:val="Normal"/>
        <w:tabs>
          <w:tab w:val="clear" w:pos="720"/>
          <w:tab w:val="right" w:pos="9360" w:leader="dot"/>
        </w:tabs>
        <w:ind w:hanging="244" w:start="244" w:end="0"/>
        <w:rPr/>
      </w:pPr>
      <w:r>
        <w:rPr>
          <w:i/>
        </w:rPr>
        <w:t>Koniag, Inc. v. Koncor Forest Res.</w:t>
      </w:r>
      <w:r>
        <w:rPr/>
        <w:t>,</w:t>
      </w:r>
    </w:p>
    <w:p>
      <w:pPr>
        <w:pStyle w:val="Normal"/>
        <w:tabs>
          <w:tab w:val="clear" w:pos="720"/>
          <w:tab w:val="right" w:pos="9360" w:leader="dot"/>
        </w:tabs>
        <w:ind w:start="244" w:end="0"/>
        <w:rPr/>
      </w:pPr>
      <w:r>
        <w:rPr/>
        <w:t>39 F.3d 991 (9th Cir. 1994)</w:t>
        <w:tab/>
        <w:t>20</w:t>
      </w:r>
    </w:p>
    <w:p>
      <w:pPr>
        <w:pStyle w:val="Normal"/>
        <w:rPr/>
      </w:pPr>
      <w:r>
        <w:rPr/>
      </w:r>
    </w:p>
    <w:p>
      <w:pPr>
        <w:pStyle w:val="Normal"/>
        <w:tabs>
          <w:tab w:val="clear" w:pos="720"/>
          <w:tab w:val="right" w:pos="9360" w:leader="dot"/>
        </w:tabs>
        <w:ind w:hanging="244" w:start="244" w:end="0"/>
        <w:rPr/>
      </w:pPr>
      <w:r>
        <w:rPr>
          <w:i/>
        </w:rPr>
        <w:t>Medtronic, Inc. v. Medical Design Research, Inc.</w:t>
      </w:r>
      <w:r>
        <w:rPr/>
        <w:t>,</w:t>
      </w:r>
    </w:p>
    <w:p>
      <w:pPr>
        <w:pStyle w:val="Normal"/>
        <w:tabs>
          <w:tab w:val="clear" w:pos="720"/>
          <w:tab w:val="right" w:pos="9360" w:leader="dot"/>
        </w:tabs>
        <w:ind w:start="244" w:end="0"/>
        <w:rPr/>
      </w:pPr>
      <w:r>
        <w:rPr/>
        <w:t>398 F. Supp. 849 (C.D. Cal. 1975)</w:t>
        <w:tab/>
        <w:t>18</w:t>
      </w:r>
    </w:p>
    <w:p>
      <w:pPr>
        <w:pStyle w:val="Normal"/>
        <w:rPr/>
      </w:pPr>
      <w:r>
        <w:rPr/>
      </w:r>
    </w:p>
    <w:p>
      <w:pPr>
        <w:pStyle w:val="Normal"/>
        <w:tabs>
          <w:tab w:val="clear" w:pos="720"/>
          <w:tab w:val="right" w:pos="9360" w:leader="dot"/>
        </w:tabs>
        <w:ind w:hanging="244" w:start="244" w:end="0"/>
        <w:rPr/>
      </w:pPr>
      <w:r>
        <w:rPr>
          <w:i/>
        </w:rPr>
        <w:t>Mitsui Mfr. Banks v. Tex. Commerce Bank-Fort Worth</w:t>
      </w:r>
      <w:r>
        <w:rPr/>
        <w:t>,</w:t>
      </w:r>
    </w:p>
    <w:p>
      <w:pPr>
        <w:pStyle w:val="Normal"/>
        <w:tabs>
          <w:tab w:val="clear" w:pos="720"/>
          <w:tab w:val="right" w:pos="9360" w:leader="dot"/>
        </w:tabs>
        <w:ind w:start="244" w:end="0"/>
        <w:rPr/>
      </w:pPr>
      <w:r>
        <w:rPr/>
        <w:t>159 Cal. App. 3d 1051 (1984)</w:t>
        <w:tab/>
        <w:t>22</w:t>
      </w:r>
    </w:p>
    <w:p>
      <w:pPr>
        <w:pStyle w:val="Normal"/>
        <w:rPr/>
      </w:pPr>
      <w:r>
        <w:rPr/>
      </w:r>
    </w:p>
    <w:p>
      <w:pPr>
        <w:pStyle w:val="Normal"/>
        <w:tabs>
          <w:tab w:val="clear" w:pos="720"/>
          <w:tab w:val="right" w:pos="9360" w:leader="dot"/>
        </w:tabs>
        <w:ind w:hanging="244" w:start="244" w:end="0"/>
        <w:rPr/>
      </w:pPr>
      <w:r>
        <w:rPr>
          <w:i/>
        </w:rPr>
        <w:t>Oakland Tribune, Inc. v. Chronicle Publ'g Co.</w:t>
      </w:r>
      <w:r>
        <w:rPr/>
        <w:t>,</w:t>
      </w:r>
    </w:p>
    <w:p>
      <w:pPr>
        <w:pStyle w:val="Normal"/>
        <w:tabs>
          <w:tab w:val="clear" w:pos="720"/>
          <w:tab w:val="right" w:pos="9360" w:leader="dot"/>
        </w:tabs>
        <w:ind w:start="244" w:end="0"/>
        <w:rPr/>
      </w:pPr>
      <w:r>
        <w:rPr/>
        <w:t>762 F. 2d 1374 (9th Cir. 1985)</w:t>
        <w:tab/>
        <w:t>15</w:t>
      </w:r>
    </w:p>
    <w:p>
      <w:pPr>
        <w:pStyle w:val="Normal"/>
        <w:rPr/>
      </w:pPr>
      <w:r>
        <w:rPr/>
      </w:r>
    </w:p>
    <w:p>
      <w:pPr>
        <w:pStyle w:val="Normal"/>
        <w:tabs>
          <w:tab w:val="clear" w:pos="720"/>
          <w:tab w:val="right" w:pos="9360" w:leader="dot"/>
        </w:tabs>
        <w:ind w:hanging="244" w:start="244" w:end="0"/>
        <w:rPr/>
      </w:pPr>
      <w:r>
        <w:rPr>
          <w:i/>
        </w:rPr>
        <w:t>San Antonio Cmty. Hosp. v. Southern Cal. Dist. Counsel of Carpenters</w:t>
      </w:r>
      <w:r>
        <w:rPr/>
        <w:t>,</w:t>
      </w:r>
    </w:p>
    <w:p>
      <w:pPr>
        <w:pStyle w:val="Normal"/>
        <w:tabs>
          <w:tab w:val="clear" w:pos="720"/>
          <w:tab w:val="right" w:pos="9360" w:leader="dot"/>
        </w:tabs>
        <w:ind w:start="244" w:end="0"/>
        <w:rPr/>
      </w:pPr>
      <w:r>
        <w:rPr/>
        <w:t>125 F.3d 1230 (9th Cir. 1997)</w:t>
        <w:tab/>
        <w:t>22</w:t>
      </w:r>
    </w:p>
    <w:p>
      <w:pPr>
        <w:pStyle w:val="Normal"/>
        <w:rPr/>
      </w:pPr>
      <w:r>
        <w:rPr/>
      </w:r>
    </w:p>
    <w:p>
      <w:pPr>
        <w:pStyle w:val="Normal"/>
        <w:tabs>
          <w:tab w:val="clear" w:pos="720"/>
          <w:tab w:val="right" w:pos="9360" w:leader="dot"/>
        </w:tabs>
        <w:ind w:hanging="244" w:start="244" w:end="0"/>
        <w:rPr/>
      </w:pPr>
      <w:r>
        <w:rPr>
          <w:i/>
        </w:rPr>
        <w:t>Steinmeyer v. Warner Consol. Corp.</w:t>
      </w:r>
      <w:r>
        <w:rPr/>
        <w:t>,</w:t>
      </w:r>
    </w:p>
    <w:p>
      <w:pPr>
        <w:pStyle w:val="Normal"/>
        <w:tabs>
          <w:tab w:val="clear" w:pos="720"/>
          <w:tab w:val="right" w:pos="9360" w:leader="dot"/>
        </w:tabs>
        <w:ind w:start="244" w:end="0"/>
        <w:rPr/>
      </w:pPr>
      <w:r>
        <w:rPr/>
        <w:t>42 Cal. App. 3d 515 (1974)</w:t>
        <w:tab/>
        <w:t>22</w:t>
      </w:r>
    </w:p>
    <w:p>
      <w:pPr>
        <w:pStyle w:val="Normal"/>
        <w:tabs>
          <w:tab w:val="clear" w:pos="720"/>
          <w:tab w:val="right" w:pos="9360" w:leader="dot"/>
        </w:tabs>
        <w:ind w:hanging="244" w:start="244" w:end="0"/>
        <w:rPr/>
      </w:pPr>
      <w:r>
        <w:rPr>
          <w:i/>
        </w:rPr>
        <w:t>Union Oil Co. of Cal. v. Domengeaux</w:t>
      </w:r>
      <w:r>
        <w:rPr/>
        <w:t>,</w:t>
      </w:r>
    </w:p>
    <w:p>
      <w:pPr>
        <w:pStyle w:val="Normal"/>
        <w:tabs>
          <w:tab w:val="clear" w:pos="720"/>
          <w:tab w:val="right" w:pos="9360" w:leader="dot"/>
        </w:tabs>
        <w:ind w:start="244" w:end="0"/>
        <w:rPr/>
      </w:pPr>
      <w:r>
        <w:rPr/>
        <w:t>30 Cal. App. 2d 266 (1939)</w:t>
        <w:tab/>
        <w:t>20</w:t>
      </w:r>
    </w:p>
    <w:p>
      <w:pPr>
        <w:pStyle w:val="Normal"/>
        <w:rPr/>
      </w:pPr>
      <w:r>
        <w:rPr/>
      </w:r>
    </w:p>
    <w:p>
      <w:pPr>
        <w:pStyle w:val="Normal"/>
        <w:tabs>
          <w:tab w:val="clear" w:pos="720"/>
          <w:tab w:val="right" w:pos="9360" w:leader="dot"/>
        </w:tabs>
        <w:ind w:hanging="244" w:start="244" w:end="0"/>
        <w:rPr/>
      </w:pPr>
      <w:r>
        <w:rPr>
          <w:i/>
        </w:rPr>
        <w:t>Wellborn v. Wellborn</w:t>
      </w:r>
      <w:r>
        <w:rPr/>
        <w:t>,</w:t>
      </w:r>
    </w:p>
    <w:p>
      <w:pPr>
        <w:pStyle w:val="Normal"/>
        <w:tabs>
          <w:tab w:val="clear" w:pos="720"/>
          <w:tab w:val="right" w:pos="9360" w:leader="dot"/>
        </w:tabs>
        <w:ind w:start="244" w:end="0"/>
        <w:rPr/>
      </w:pPr>
      <w:r>
        <w:rPr/>
        <w:t>67 Cal. App. 2d 540 (1945)</w:t>
        <w:tab/>
        <w:t>20</w:t>
      </w:r>
    </w:p>
    <w:p>
      <w:pPr>
        <w:pStyle w:val="Normal"/>
        <w:rPr/>
      </w:pPr>
      <w:r>
        <w:rPr/>
      </w:r>
    </w:p>
    <w:p>
      <w:pPr>
        <w:pStyle w:val="Normal"/>
        <w:tabs>
          <w:tab w:val="clear" w:pos="720"/>
          <w:tab w:val="right" w:pos="9360" w:leader="dot"/>
        </w:tabs>
        <w:ind w:hanging="244" w:start="244" w:end="0"/>
        <w:rPr/>
      </w:pPr>
      <w:r>
        <w:rPr>
          <w:i/>
        </w:rPr>
        <w:t>West Coast Constr. Co. v. Oceano Sanitary Dist.</w:t>
      </w:r>
      <w:r>
        <w:rPr/>
        <w:t>,</w:t>
      </w:r>
    </w:p>
    <w:p>
      <w:pPr>
        <w:pStyle w:val="Normal"/>
        <w:tabs>
          <w:tab w:val="clear" w:pos="720"/>
          <w:tab w:val="right" w:pos="9360" w:leader="dot"/>
        </w:tabs>
        <w:ind w:start="244" w:end="0"/>
        <w:rPr/>
      </w:pPr>
      <w:r>
        <w:rPr/>
        <w:t>17 Cal. App. 3d 693 (1971)</w:t>
        <w:tab/>
        <w:t>19</w:t>
      </w:r>
    </w:p>
    <w:p>
      <w:pPr>
        <w:pStyle w:val="Normal"/>
        <w:rPr/>
      </w:pPr>
      <w:r>
        <w:rPr/>
      </w:r>
    </w:p>
    <w:p>
      <w:pPr>
        <w:pStyle w:val="Normal"/>
        <w:tabs>
          <w:tab w:val="clear" w:pos="720"/>
          <w:tab w:val="right" w:pos="9360" w:leader="dot"/>
        </w:tabs>
        <w:ind w:hanging="244" w:start="244" w:end="0"/>
        <w:rPr/>
      </w:pPr>
      <w:r>
        <w:rPr>
          <w:i/>
        </w:rPr>
        <w:t>Wind v. Bow Herbert</w:t>
      </w:r>
      <w:r>
        <w:rPr/>
        <w:t>,</w:t>
      </w:r>
    </w:p>
    <w:p>
      <w:pPr>
        <w:pStyle w:val="Normal"/>
        <w:tabs>
          <w:tab w:val="clear" w:pos="720"/>
          <w:tab w:val="right" w:pos="9360" w:leader="dot"/>
        </w:tabs>
        <w:ind w:start="244" w:end="0"/>
        <w:rPr/>
      </w:pPr>
      <w:r>
        <w:rPr/>
        <w:t>186 Cal. App. 2d 276 (1960)</w:t>
        <w:tab/>
        <w:t>18</w:t>
      </w:r>
    </w:p>
    <w:p>
      <w:pPr>
        <w:pStyle w:val="Normal"/>
        <w:rPr/>
      </w:pPr>
      <w:r>
        <w:rPr/>
      </w:r>
    </w:p>
    <w:p>
      <w:pPr>
        <w:pStyle w:val="Normal"/>
        <w:tabs>
          <w:tab w:val="clear" w:pos="720"/>
          <w:tab w:val="right" w:pos="9360" w:leader="dot"/>
        </w:tabs>
        <w:ind w:hanging="244" w:start="244" w:end="0"/>
        <w:rPr/>
      </w:pPr>
      <w:r>
        <w:rPr>
          <w:i/>
        </w:rPr>
        <w:t>Woodbine v. Van Horn</w:t>
      </w:r>
      <w:r>
        <w:rPr/>
        <w:t>,</w:t>
      </w:r>
    </w:p>
    <w:p>
      <w:pPr>
        <w:pStyle w:val="Normal"/>
        <w:tabs>
          <w:tab w:val="clear" w:pos="720"/>
          <w:tab w:val="right" w:pos="9360" w:leader="dot"/>
        </w:tabs>
        <w:ind w:start="244" w:end="0"/>
        <w:rPr/>
      </w:pPr>
      <w:r>
        <w:rPr/>
        <w:t>29 Cal. 2d 95 (1946)</w:t>
        <w:tab/>
        <w:t>20</w:t>
      </w:r>
    </w:p>
    <w:p>
      <w:pPr>
        <w:pStyle w:val="Normal"/>
        <w:rPr/>
      </w:pPr>
      <w:r>
        <w:rPr/>
      </w:r>
    </w:p>
    <w:p>
      <w:pPr>
        <w:pStyle w:val="Normal"/>
        <w:jc w:val="center"/>
        <w:rPr>
          <w:b/>
        </w:rPr>
      </w:pPr>
      <w:r>
        <w:rPr>
          <w:b/>
        </w:rPr>
      </w:r>
    </w:p>
    <w:p>
      <w:pPr>
        <w:pStyle w:val="Normal"/>
        <w:jc w:val="center"/>
        <w:rPr>
          <w:b/>
        </w:rPr>
      </w:pPr>
      <w:r>
        <w:rPr>
          <w:b/>
        </w:rPr>
        <w:t xml:space="preserve">FEDERAL STATUTES </w:t>
      </w:r>
    </w:p>
    <w:p>
      <w:pPr>
        <w:pStyle w:val="Normal"/>
        <w:rPr/>
      </w:pPr>
      <w:r>
        <w:rPr/>
      </w:r>
    </w:p>
    <w:p>
      <w:pPr>
        <w:pStyle w:val="Normal"/>
        <w:tabs>
          <w:tab w:val="clear" w:pos="720"/>
          <w:tab w:val="right" w:pos="9360" w:leader="dot"/>
        </w:tabs>
        <w:ind w:hanging="244" w:start="244" w:end="0"/>
        <w:rPr/>
      </w:pPr>
      <w:r>
        <w:rPr/>
        <w:t>Fed. R. Civ. P. 65(b)</w:t>
        <w:tab/>
        <w:t>15</w:t>
      </w:r>
    </w:p>
    <w:p>
      <w:pPr>
        <w:pStyle w:val="Normal"/>
        <w:rPr/>
      </w:pPr>
      <w:r>
        <w:rPr/>
      </w:r>
    </w:p>
    <w:p>
      <w:pPr>
        <w:pStyle w:val="Normal"/>
        <w:rPr/>
      </w:pPr>
      <w:r>
        <w:rPr/>
      </w:r>
    </w:p>
    <w:p>
      <w:pPr>
        <w:pStyle w:val="Normal"/>
        <w:jc w:val="center"/>
        <w:rPr>
          <w:b/>
        </w:rPr>
      </w:pPr>
      <w:r>
        <w:rPr>
          <w:b/>
        </w:rPr>
        <w:t xml:space="preserve">CALIFORNIA STATUTES </w:t>
      </w:r>
    </w:p>
    <w:p>
      <w:pPr>
        <w:pStyle w:val="Normal"/>
        <w:rPr/>
      </w:pPr>
      <w:r>
        <w:rPr/>
      </w:r>
    </w:p>
    <w:p>
      <w:pPr>
        <w:pStyle w:val="Normal"/>
        <w:tabs>
          <w:tab w:val="clear" w:pos="720"/>
          <w:tab w:val="right" w:pos="9360" w:leader="dot"/>
        </w:tabs>
        <w:ind w:hanging="244" w:start="244" w:end="0"/>
        <w:rPr/>
      </w:pPr>
      <w:r>
        <w:rPr/>
        <w:t>Cal. Civ. Proc. Code</w:t>
      </w:r>
    </w:p>
    <w:p>
      <w:pPr>
        <w:pStyle w:val="Normal"/>
        <w:tabs>
          <w:tab w:val="clear" w:pos="720"/>
          <w:tab w:val="right" w:pos="9360" w:leader="dot"/>
        </w:tabs>
        <w:ind w:firstLine="26" w:start="244" w:end="0"/>
        <w:rPr/>
      </w:pPr>
      <w:r>
        <w:rPr/>
        <w:t>§ 529</w:t>
        <w:tab/>
        <w:t>12</w:t>
      </w:r>
    </w:p>
    <w:p>
      <w:pPr>
        <w:pStyle w:val="Normal"/>
        <w:rPr/>
      </w:pPr>
      <w:r>
        <w:rPr/>
      </w:r>
    </w:p>
    <w:p>
      <w:pPr>
        <w:pStyle w:val="Normal"/>
        <w:jc w:val="center"/>
        <w:rPr>
          <w:b/>
        </w:rPr>
      </w:pPr>
      <w:r>
        <w:rPr>
          <w:b/>
        </w:rPr>
      </w:r>
    </w:p>
    <w:p>
      <w:pPr>
        <w:sectPr>
          <w:headerReference w:type="default" r:id="rId4"/>
          <w:headerReference w:type="first" r:id="rId5"/>
          <w:footerReference w:type="default" r:id="rId6"/>
          <w:footerReference w:type="first" r:id="rId7"/>
          <w:type w:val="nextPage"/>
          <w:pgSz w:w="12240" w:h="15840"/>
          <w:pgMar w:left="2088" w:right="720" w:gutter="0" w:header="475" w:top="1267" w:footer="504" w:bottom="1325"/>
          <w:pgNumType w:start="1" w:fmt="lowerRoman"/>
          <w:formProt w:val="false"/>
          <w:textDirection w:val="lrTb"/>
          <w:docGrid w:type="default" w:linePitch="360" w:charSpace="0"/>
        </w:sectPr>
        <w:pStyle w:val="BodyText"/>
        <w:rPr>
          <w:b/>
        </w:rPr>
      </w:pPr>
      <w:r>
        <w:rPr>
          <w:b/>
        </w:rPr>
      </w:r>
    </w:p>
    <w:p>
      <w:pPr>
        <w:pStyle w:val="Heading1"/>
        <w:spacing w:before="0" w:after="0"/>
        <w:rPr/>
      </w:pPr>
      <w:bookmarkStart w:id="2" w:name="__RefHeading___Toc506271213"/>
      <w:bookmarkEnd w:id="2"/>
      <w:r>
        <w:rPr/>
        <w:t>INTRODUCTION</w:t>
      </w:r>
    </w:p>
    <w:p>
      <w:pPr>
        <w:pStyle w:val="BodyText"/>
        <w:rPr/>
      </w:pPr>
      <w:r>
        <w:rPr/>
        <w:t xml:space="preserve">Immediate injunctive relief is required to protect Avista Energy, Inc. (“Avista Energy”) from a cascading series of assessments being wrongfully issued against it by the California Power Exchange (“CalPX”).  The CalPX operates a wholesale electricity market, in which Avista Energy was until recently a participant.  Because of the CalPX’s multiple failures to fulfill its obligations under its agreements with market participants such as Avista Energy, and its clear violations of the terms of the CalPX Tariff under which it operates, Avista Energy has been compelled to pay wrongful assessments of at least $1,287,301 so far, which amount is expected to increase substantially.  In fact, the CalPX has told Avista Energy that it will be getting an $8 million assessment on February 8, 2001, the bulk of which is the result of defaults in the Independent System Operator (“ISO”) market, not the CalPX market.  </w:t>
      </w:r>
    </w:p>
    <w:p>
      <w:pPr>
        <w:pStyle w:val="BodyText"/>
        <w:rPr/>
      </w:pPr>
      <w:r>
        <w:rPr/>
        <w:t>If Avista Energy pays these wrongful assessments, it will never be able to recover these amounts from the CalPX; and if it refuses to pay and the CalPX is permitted to declare it in default and draw on its collateral, Avista Energy will be irreparably harmed both by its unrecoverable losses and by the risk of the multiplicity of lawsuits that will arise from the CalPX’s actions.</w:t>
      </w:r>
    </w:p>
    <w:p>
      <w:pPr>
        <w:pStyle w:val="BodyText"/>
        <w:rPr/>
      </w:pPr>
      <w:r>
        <w:rPr/>
        <w:t xml:space="preserve">The PX Tariff obligates the CalPX to assess the creditworthiness of participants in its market for the benefit of all market participants.  More particularly, the CalPX is obligated to obtain adequate security from all participants before allowing them to trade in the market.  The CalPX has a mandatory and continuing duty to monitor the financial situation and solvency of all participants, and any events affecting them, and to act to obtain additional security when it becomes necessary.  </w:t>
      </w:r>
    </w:p>
    <w:p>
      <w:pPr>
        <w:pStyle w:val="BodyText"/>
        <w:rPr/>
      </w:pPr>
      <w:r>
        <w:rPr/>
        <w:t>If a participant defaults, the CalPX must follow a prescribed set of procedures to recover the defaulted sums.  First, the CalPX is to proceed against any and all of the security of the defaulting participant.  Complaint Exh. 1 at § 5.2.  Second, it must proceed against the pool performance bond the CalPX is required to maintain for the benefit of all participants.  Third, and only if there remains an outstanding balance following steps one and two, the CalPX may proceed to issue assessments (“charge-back” notices) to the other current participants in the market, based on their pro rata share of recent activity in the market.  However, the CalPX nonetheless has issued charge-back invoices to Avista Energy and other market participants without first exhausting the primary and secondary forms of security.</w:t>
      </w:r>
    </w:p>
    <w:p>
      <w:pPr>
        <w:pStyle w:val="BodyText"/>
        <w:rPr/>
      </w:pPr>
      <w:r>
        <w:rPr/>
        <w:t xml:space="preserve">The CalPX has violated all of these obligations, and has converted to its own use money belonging to Avista Energy.  Notwithstanding clear and public warnings of insolvency and imminent bankruptcy over a period stretching into many months, the CalPX did not require either Southern California Edison Company (“SCE”) or Pacific Gas and Electric Company (“PG&amp;E”) </w:t>
      </w:r>
      <w:r>
        <w:rPr>
          <w:rFonts w:eastAsia="Symbol" w:cs="Symbol" w:ascii="Symbol" w:hAnsi="Symbol"/>
        </w:rPr>
        <w:sym w:font="Symbol" w:char="f0be"/>
      </w:r>
      <w:r>
        <w:rPr/>
        <w:t xml:space="preserve"> the largest investor-owned utilities and two of the largest participants in the CalPX market </w:t>
      </w:r>
      <w:r>
        <w:rPr>
          <w:rFonts w:eastAsia="Symbol" w:cs="Symbol" w:ascii="Symbol" w:hAnsi="Symbol"/>
        </w:rPr>
        <w:sym w:font="Symbol" w:char="f0be"/>
      </w:r>
      <w:r>
        <w:rPr/>
        <w:t xml:space="preserve"> to post sufficient collateral for their CalPX trading activities.  In fact, the PX permitted SCE to post no collateral at all.  Yet financial difficulties of SCE and PG&amp;E have been prominently chronicled in the print news media, television, and radio dating back to the summer of 2000.  As if the splashing of these events across the front pages of the state’s major newspapers were not enough, both SCE and PG&amp;E meticulously detailed their deteriorating financial condition and related events in a series of public filings at the SEC, at FERC, at the CPUC, in legislative hearings, and in the California courts.  (See Request For Judicial Notice (“RJN”), Exhs. A</w:t>
        <w:noBreakHyphen/>
        <w:t xml:space="preserve">N.)  Of course, as an energy “insider,” the CalPX enjoyed access to additional, esoteric information and developments indicating PG&amp;E’s and SCE’s imminent defaults that neither Avista Energy nor the public was privy to.  </w:t>
      </w:r>
    </w:p>
    <w:p>
      <w:pPr>
        <w:pStyle w:val="BodyText"/>
        <w:rPr/>
      </w:pPr>
      <w:r>
        <w:rPr/>
        <w:t>Yet the CalPX did nothing to fulfill its obligations under the CalPX Tariff to monitor the credit situation and solvency of SCE and PG&amp;E, or to require either SCE or PG&amp;E to post adequate security, until mid-January 2001, some seven to eight months after the energy crisis began.  Declaration of Andrew B. Sabey (“Sabey Decl.”) ¶¶ 4-19.  Throughout this period, when it became apparent that SCE and PG&amp;E were marching toward inevitable financial crisis, and clearly did not meet the CalPX’s criteria for trading in the market unsecured, the CalPX nevertheless allowed them to continue with massive trading on unlimited unsecured lines of credit.  By the time the CalPX finally took action in mid-January 2001 </w:t>
      </w:r>
      <w:r>
        <w:rPr>
          <w:rFonts w:eastAsia="Symbol" w:cs="Symbol" w:ascii="Symbol" w:hAnsi="Symbol"/>
        </w:rPr>
        <w:sym w:font="Symbol" w:char="f0be"/>
      </w:r>
      <w:r>
        <w:rPr/>
        <w:t xml:space="preserve"> after the two utilities had already defaulted on huge payments due the CalPX, the ISO, and others </w:t>
      </w:r>
      <w:r>
        <w:rPr>
          <w:rFonts w:eastAsia="Symbol" w:cs="Symbol" w:ascii="Symbol" w:hAnsi="Symbol"/>
        </w:rPr>
        <w:sym w:font="Symbol" w:char="f0be"/>
      </w:r>
      <w:r>
        <w:rPr/>
        <w:t xml:space="preserve"> it was too late.  </w:t>
      </w:r>
    </w:p>
    <w:p>
      <w:pPr>
        <w:pStyle w:val="BodyText"/>
        <w:rPr/>
      </w:pPr>
      <w:r>
        <w:rPr/>
        <w:t>SCE defaulted on $215 million of obligations to the CalPX on January 18, 2001; and on February 1, 2001, PG&amp;E defaulted on some $611 million of obligations for its purchases through the ISO (for which purchases the CalPX acts as Scheduling Coordinator for PG&amp;E).  PG&amp;E has indicated in a recent Form 8</w:t>
        <w:noBreakHyphen/>
        <w:t>K filing that it owes an additional $1 billion on March 1, 2001, and that it lacks the ability to satisfy this obligation.  (RJN Exh. D(11)).</w:t>
      </w:r>
    </w:p>
    <w:p>
      <w:pPr>
        <w:pStyle w:val="BodyText"/>
        <w:rPr/>
      </w:pPr>
      <w:r>
        <w:rPr/>
        <w:t xml:space="preserve">Of equal importance, the CalPX has violated its obligations to the non-defaulting participants by failing to follow the procedures set out in the CalPX Tariff for responding to a participant default.  It did not execute on approximately $1 billion dollars worth of Block-Forward Market contracts SCE and PG&amp;E had negotiated in the CalPX.  Now those contracts have been seized by the Governor, under his emergency powers.  Nor has the CalPX received proceeds from the pool performance bond.  Instead, the CalPX </w:t>
      </w:r>
      <w:r>
        <w:rPr>
          <w:rFonts w:eastAsia="Symbol" w:cs="Symbol" w:ascii="Symbol" w:hAnsi="Symbol"/>
        </w:rPr>
        <w:sym w:font="Symbol" w:char="f0be"/>
      </w:r>
      <w:r>
        <w:rPr/>
        <w:t xml:space="preserve"> on the very day SCE defaulted </w:t>
      </w:r>
      <w:r>
        <w:rPr>
          <w:rFonts w:eastAsia="Symbol" w:cs="Symbol" w:ascii="Symbol" w:hAnsi="Symbol"/>
        </w:rPr>
        <w:sym w:font="Symbol" w:char="f0be"/>
      </w:r>
      <w:r>
        <w:rPr/>
        <w:t xml:space="preserve"> immediately began issuing “charge-back” notices to the innocent, non-defaulting participants </w:t>
      </w:r>
      <w:r>
        <w:rPr>
          <w:rFonts w:eastAsia="Symbol" w:cs="Symbol" w:ascii="Symbol" w:hAnsi="Symbol"/>
        </w:rPr>
        <w:sym w:font="Symbol" w:char="f0be"/>
      </w:r>
      <w:r>
        <w:rPr/>
        <w:t xml:space="preserve"> purportedly “due” within days </w:t>
      </w:r>
      <w:r>
        <w:rPr>
          <w:rFonts w:eastAsia="Symbol" w:cs="Symbol" w:ascii="Symbol" w:hAnsi="Symbol"/>
        </w:rPr>
        <w:sym w:font="Symbol" w:char="f0be"/>
      </w:r>
      <w:r>
        <w:rPr/>
        <w:t xml:space="preserve"> to assess them for SCE’s massive default, and threatening to liquidate their collateral or security if immediate payment were not forthcoming.  And when some participants did not pay their share, the CalPX reallocated those shares to the other participants, resulting in a cascading series of “charge-back” assessments.  </w:t>
      </w:r>
    </w:p>
    <w:p>
      <w:pPr>
        <w:pStyle w:val="BodyText"/>
        <w:rPr/>
      </w:pPr>
      <w:r>
        <w:rPr/>
        <w:t xml:space="preserve">The amount of SCE’s and PG&amp;E’s defaults to the CalPX and ISO are approaching a billion dollars.  And bigger defaults are looming.  PG&amp;E estimates that its payment due to the CalPX on February 15, 2001 will be in excess of $100 million.  SCE has projected that by February 28, 2001 it will owe another $733 million for its purchases through the CalPX and ISO and from other energy suppliers.  Using the same illegal means, the CalPX intends to collect these amounts — through “charge-back” assessments — from innocent participants like Avista Energy.  </w:t>
      </w:r>
    </w:p>
    <w:p>
      <w:pPr>
        <w:pStyle w:val="BodyText"/>
        <w:rPr/>
      </w:pPr>
      <w:r>
        <w:rPr/>
        <w:t xml:space="preserve">An immediate injunction is required because Avista Energy will have no remedy in money damages.  The CalPX has no substantial assets, and is expected to be out of business imminently; it has already suspended its operations effective January 31, 2001, and laid off many of its employees.  (RJN Exh. P.)  SCE and PG&amp;E also are insolvent, and hired bankruptcy lawyers in 2000.  In any event, the charge-back amounts being paid to the CalPX are purportedly being collected to pay outstanding obligations, </w:t>
      </w:r>
      <w:r>
        <w:rPr>
          <w:i/>
        </w:rPr>
        <w:t>i.e</w:t>
      </w:r>
      <w:r>
        <w:rPr/>
        <w:t>., to pay CalPX creditors (although a large chunk is being sought, improperly, to pay for defaults in the ISO market).  So any charge</w:t>
        <w:noBreakHyphen/>
        <w:t xml:space="preserve">back amounts paid by Avista Energy will be immediately paid out by the CalPX to third parties.  If Avista Energy does not pay the charge-back amounts, the CalPX has threatened to proceed against Avista Energy’s letter of credit </w:t>
      </w:r>
      <w:r>
        <w:rPr>
          <w:rFonts w:eastAsia="Symbol" w:cs="Symbol" w:ascii="Symbol" w:hAnsi="Symbol"/>
        </w:rPr>
        <w:sym w:font="Symbol" w:char="f0be"/>
      </w:r>
      <w:r>
        <w:rPr/>
        <w:t xml:space="preserve"> notwithstanding that the charge-backs are wrongful and unauthorized — which would harm Avista Energy’s business relationships and reputation, for which damages are not calculable.  </w:t>
      </w:r>
    </w:p>
    <w:p>
      <w:pPr>
        <w:pStyle w:val="BodyText"/>
        <w:rPr/>
      </w:pPr>
      <w:r>
        <w:rPr/>
        <w:t>In any case, it is premature for the CalPX to proceed with additional charge-backs until it has exhausted the security it claims it has for SCE’s and PG&amp;E’s defaults — compensation for the SCE and PG&amp;E Block-Forward Market contracts and proceeds from the pool performance bond.  At a minimum, those amounts must be offset against SCE and PG&amp;E’s defaults before the CalPX can even begin to determine whether “charge-backs” are necessary.  Failure to enjoin the CalPX will lead to a multiplicity of litigation, as the CalPX participants who pay the wrongful charge-backs, and are unable to recover them from the CalPX, will have to proceed against third parties who receive the funds, other CalPX participants, and/or the defaulting SCE and PG&amp;E (which are insolvent).  An immediate injunction is required.</w:t>
      </w:r>
    </w:p>
    <w:p>
      <w:pPr>
        <w:pStyle w:val="Heading1"/>
        <w:rPr/>
      </w:pPr>
      <w:bookmarkStart w:id="3" w:name="__RefHeading___Toc506271214"/>
      <w:bookmarkEnd w:id="3"/>
      <w:r>
        <w:rPr/>
        <w:t>FACTUAL BACKGROUND</w:t>
      </w:r>
    </w:p>
    <w:p>
      <w:pPr>
        <w:pStyle w:val="Heading2"/>
        <w:ind w:hanging="0" w:start="0"/>
        <w:rPr/>
      </w:pPr>
      <w:bookmarkStart w:id="4" w:name="__RefHeading___Toc506271215"/>
      <w:bookmarkEnd w:id="4"/>
      <w:r>
        <w:rPr/>
        <w:t>The CalPX’s Function As A Wholesale Electricity Market</w:t>
      </w:r>
    </w:p>
    <w:p>
      <w:pPr>
        <w:pStyle w:val="BodyText"/>
        <w:rPr/>
      </w:pPr>
      <w:r>
        <w:rPr/>
        <w:t xml:space="preserve">The CalPX is a nonprofit public benefit corporation that was set up as a result of the deregulation of the electric power industry in California in 1996, and operates wholesale electricity markets for the purchase and sale of electricity within California.  It operates what is known as the “Core Market,” on which electricity is bought and sold on a day-ahead or day-of basis.  It also operates the CalPX Trading Services Market, or “Block-Forward Market,” on which electricity is sold pursuant to longer term contracts, for delivery in the future.  </w:t>
      </w:r>
    </w:p>
    <w:p>
      <w:pPr>
        <w:pStyle w:val="BodyText"/>
        <w:rPr/>
      </w:pPr>
      <w:r>
        <w:rPr/>
        <w:t xml:space="preserve">Purchasers and sellers of electricity participate in the CalPX Core and Block-Forward Markets pursuant to contracts entered into with the CalPX, called Participation Agreements.  The Participation Agreements, in turn, are governed by and incorporate the terms of the California Power Exchange Corporation FERC Electric Service Tariff No. 2, approved by the Federal Energy Regulatory Commission (“CalPX Tariff”).  (A copy of the CalPX Tariff is attached as Exhibit 1 to the Complaint.)  Avista Energy was a participant in the CalPX Core Market through its Participation Agreement with the CalPX, which it entered into in September 1998.  (Declaration of Nolan A. Steiner, ¶ 4 and Exh. A thereto.)  SCE and PG&amp;E also are participants in the CalPX markets — and, of course, the largest participants, in terms of volume of transactions.  </w:t>
      </w:r>
    </w:p>
    <w:p>
      <w:pPr>
        <w:pStyle w:val="Heading2"/>
        <w:ind w:hanging="0" w:start="0"/>
        <w:rPr/>
      </w:pPr>
      <w:bookmarkStart w:id="5" w:name="__RefHeading___Toc506271216"/>
      <w:bookmarkEnd w:id="5"/>
      <w:r>
        <w:rPr/>
        <w:t>The CalPX’s Obligations Under the Participation Agreement and CalPX Tariff To Obtain Adequate Collateral and To Monitor the Creditworthiness and Solvency of CalPX Participants</w:t>
      </w:r>
    </w:p>
    <w:p>
      <w:pPr>
        <w:pStyle w:val="BodyText"/>
        <w:rPr/>
      </w:pPr>
      <w:r>
        <w:rPr/>
        <w:t>Under the CalPX Tariff and the various Participation Agreements, the CalPX agreed to monitor the creditworthiness and solvency of the participants, for the benefit of all.  Specifically, the CalPX is to require each participant in the CalPX markets to provide evidence of its solvency and creditworthiness, not to be in default of any of its obligations to the CalPX, and to maintain collateral sufficient to cover its market activities, depending on its credit rating as assigned by the CalPX.  (See Complaint, Exh. 1, Schedule 2, at §§ 1, 2.)  The collateral can take the form of, among other things, an irrevocable letter of credit, a cash deposit, a surety bond, or a corporate guarantee from the participant’s parent company.  (</w:t>
      </w:r>
      <w:r>
        <w:rPr>
          <w:i/>
        </w:rPr>
        <w:t>Id</w:t>
      </w:r>
      <w:r>
        <w:rPr/>
        <w:t xml:space="preserve">. at § 2.1.)  </w:t>
      </w:r>
    </w:p>
    <w:p>
      <w:pPr>
        <w:pStyle w:val="BodyText"/>
        <w:rPr/>
      </w:pPr>
      <w:r>
        <w:rPr/>
        <w:t>The CalPX Tariff provides that the amount of collateral a participant is required to maintain to trade in the CalPX market is based on its rating class as assigned by the CalPX — Superior, High, Medium or Low.  A “Low” rating requires the participant to maintain collateral sufficient to support its entire line of credit with the CalPX.  At the other end of the scale, if a participant has a “Superior” rating with the CalPX, its unsecured line of credit for Core Market activities is unlimited.  (</w:t>
      </w:r>
      <w:r>
        <w:rPr>
          <w:i/>
        </w:rPr>
        <w:t>Id</w:t>
      </w:r>
      <w:r>
        <w:rPr/>
        <w:t>. at § 1.5.)  To receive a “Superior” rating, a participant must meet the requirement, among others, of having “a stand-alone, short-term rating of A</w:t>
        <w:noBreakHyphen/>
        <w:t>1 by Standard &amp; Poor’s or a stand-alone, short term rating of P</w:t>
        <w:noBreakHyphen/>
        <w:t>1 by Moody’s.”  (</w:t>
      </w:r>
      <w:r>
        <w:rPr>
          <w:i/>
        </w:rPr>
        <w:t>Id</w:t>
      </w:r>
      <w:r>
        <w:rPr/>
        <w:t xml:space="preserve">. at § 1.5.1.)  The CalPX did not require SCE to post collateral for its CalPX Core Market activities; its unsecured credit line was unlimited.  </w:t>
      </w:r>
    </w:p>
    <w:p>
      <w:pPr>
        <w:pStyle w:val="BodyText"/>
        <w:rPr/>
      </w:pPr>
      <w:r>
        <w:rPr/>
        <w:t>After the initial credit rating of a participant, the CalPX Tariff requires the CalPX to conduct regular and periodic reviews of a participant’s financial status to determine continuing compliance with the CalPX’s creditworthiness requirements.  (</w:t>
      </w:r>
      <w:r>
        <w:rPr>
          <w:i/>
        </w:rPr>
        <w:t>Id</w:t>
      </w:r>
      <w:r>
        <w:rPr/>
        <w:t>. at §1.7.)  The CalPX also is required to conduct ongoing monitoring of information about the participant and events that would affect the participant.   (</w:t>
      </w:r>
      <w:r>
        <w:rPr>
          <w:i/>
        </w:rPr>
        <w:t>Id</w:t>
      </w:r>
      <w:r>
        <w:rPr/>
        <w:t>. at 1.7.)  In the event of a strong likelihood that any participant may become insolvent, the CalPX can take any action necessary to protect the CalPX and participants from potential loss.  (</w:t>
      </w:r>
      <w:r>
        <w:rPr>
          <w:i/>
        </w:rPr>
        <w:t>Id</w:t>
      </w:r>
      <w:r>
        <w:rPr/>
        <w:t xml:space="preserve">. at § 1.9.)  Thus, the CalPX is to take steps to minimize to the fullest extent possible any payment default by a participant causing a loss to the CalPX and to non-defaulting participants. </w:t>
      </w:r>
    </w:p>
    <w:p>
      <w:pPr>
        <w:pStyle w:val="BodyText"/>
        <w:rPr/>
      </w:pPr>
      <w:r>
        <w:rPr/>
        <w:t>The CalPX also is required, pursuant to the Participation Agreement and the CalPX Tariff, to maintain a surety pool performance bond for the Core Market in an amount sufficient to cover participant defaults, to the extent that such defaults exceed the participant’s collateral.  (</w:t>
      </w:r>
      <w:r>
        <w:rPr>
          <w:i/>
        </w:rPr>
        <w:t>Id</w:t>
      </w:r>
      <w:r>
        <w:rPr/>
        <w:t xml:space="preserve">. at § 3.)  </w:t>
      </w:r>
    </w:p>
    <w:p>
      <w:pPr>
        <w:pStyle w:val="Heading2"/>
        <w:spacing w:before="360" w:after="120"/>
        <w:ind w:hanging="0" w:start="0"/>
        <w:rPr/>
      </w:pPr>
      <w:bookmarkStart w:id="6" w:name="__RefHeading___Toc506271217"/>
      <w:bookmarkEnd w:id="6"/>
      <w:r>
        <w:rPr/>
        <w:t>The CalPX’s Obligation To Execute On Security If a Participant Defaults and To Exercise Due Care</w:t>
      </w:r>
    </w:p>
    <w:p>
      <w:pPr>
        <w:pStyle w:val="BodyText"/>
        <w:rPr/>
      </w:pPr>
      <w:r>
        <w:rPr/>
        <w:t>If a participant defaults in any of its payments due the CalPX, the CalPX is required to take the necessary action to mitigate loss.  (</w:t>
      </w:r>
      <w:r>
        <w:rPr>
          <w:i/>
        </w:rPr>
        <w:t>Id</w:t>
      </w:r>
      <w:r>
        <w:rPr/>
        <w:t>. at § 5.2.)  First, the CalPX must make reasonable efforts to enforce the defaulting participant’s security.  (</w:t>
      </w:r>
      <w:r>
        <w:rPr>
          <w:i/>
        </w:rPr>
        <w:t>Id</w:t>
      </w:r>
      <w:r>
        <w:rPr/>
        <w:t>. at § 5.2.1.)  A default in the Core Market is deemed a default in all the Block-Forward and Core Markets.  (</w:t>
      </w:r>
      <w:r>
        <w:rPr>
          <w:i/>
        </w:rPr>
        <w:t>Id</w:t>
      </w:r>
      <w:r>
        <w:rPr/>
        <w:t>. at § 5.)  If the participant was trading in both the Core and Block-Forward Markets, the CalPX is required to apply the participant’s collateral to recover the total loss for both markets.  (</w:t>
      </w:r>
      <w:r>
        <w:rPr>
          <w:i/>
        </w:rPr>
        <w:t>Id</w:t>
      </w:r>
      <w:r>
        <w:rPr/>
        <w:t xml:space="preserve">. at § 5.1.)  </w:t>
      </w:r>
    </w:p>
    <w:p>
      <w:pPr>
        <w:pStyle w:val="BodyText"/>
        <w:rPr/>
      </w:pPr>
      <w:r>
        <w:rPr/>
        <w:t>Second, the CalPX is required to draw on the pool performance bond for any default amounts in excess of the participant’s posted collateral.  (</w:t>
      </w:r>
      <w:r>
        <w:rPr>
          <w:i/>
        </w:rPr>
        <w:t>Id</w:t>
      </w:r>
      <w:r>
        <w:rPr/>
        <w:t xml:space="preserve">. at § 5.2.2.)  </w:t>
      </w:r>
    </w:p>
    <w:p>
      <w:pPr>
        <w:pStyle w:val="BodyText"/>
        <w:rPr/>
      </w:pPr>
      <w:r>
        <w:rPr/>
        <w:t xml:space="preserve">Finally, any </w:t>
      </w:r>
      <w:r>
        <w:rPr>
          <w:i/>
        </w:rPr>
        <w:t>remaining</w:t>
      </w:r>
      <w:r>
        <w:rPr/>
        <w:t xml:space="preserve"> default amount, after exhausting the defaulting participant’s security and drawing on the pool performance bond, will be allocated among all non-defaulting CalPX participants in accordance with a “proportional charge-back methodology,” as follows:  </w:t>
      </w:r>
    </w:p>
    <w:p>
      <w:pPr>
        <w:pStyle w:val="Quote"/>
        <w:ind w:end="792"/>
        <w:rPr/>
      </w:pPr>
      <w:r>
        <w:rPr/>
        <w:t xml:space="preserve">The CalPX Participant’s outstanding default amount will be charged back to all current CalPX Participants based upon the percentage of its gross sales in MWhs to the total gross MWhs sales in the Core Market during the three calendar months preceding the event plus the current month-to-date.  </w:t>
      </w:r>
    </w:p>
    <w:p>
      <w:pPr>
        <w:pStyle w:val="AfterQuote"/>
        <w:rPr/>
      </w:pPr>
      <w:r>
        <w:rPr/>
        <w:t>(</w:t>
      </w:r>
      <w:r>
        <w:rPr>
          <w:i/>
        </w:rPr>
        <w:t>Id</w:t>
      </w:r>
      <w:r>
        <w:rPr/>
        <w:t xml:space="preserve">. at §§ 5.2.2 and 5.3.)  </w:t>
      </w:r>
    </w:p>
    <w:p>
      <w:pPr>
        <w:pStyle w:val="BodyText"/>
        <w:rPr/>
      </w:pPr>
      <w:r>
        <w:rPr/>
        <w:t>The CalPX has quite clearly stated that its own interpretation of the tariff is that it must first move against the defaulting party’s collateral, then against the performance pool bond, and only as a last resort, against non-defaulting participants:</w:t>
      </w:r>
    </w:p>
    <w:p>
      <w:pPr>
        <w:pStyle w:val="Quote"/>
        <w:rPr/>
      </w:pPr>
      <w:r>
        <w:rPr/>
        <w:t xml:space="preserve">If the party…fails to pay its invoice, CalPX could take enforcement action against the defaulting party by taking its collateral.  If such company-specific enforcement actions are still inadequate, the core market pool performance bond would apply to the default.  </w:t>
      </w:r>
      <w:r>
        <w:rPr>
          <w:i/>
        </w:rPr>
        <w:t xml:space="preserve">Only if all these actions fail, would Edison and other participants then be exposed to pro-rata chargeback procedures in the core market, </w:t>
      </w:r>
      <w:r>
        <w:rPr/>
        <w:t>but the probability of such exposure is extremely low.</w:t>
      </w:r>
    </w:p>
    <w:p>
      <w:pPr>
        <w:pStyle w:val="AfterQuote"/>
        <w:rPr/>
      </w:pPr>
      <w:r>
        <w:rPr/>
        <w:t xml:space="preserve">RJN Exh. R (emphasis added).  </w:t>
      </w:r>
    </w:p>
    <w:p>
      <w:pPr>
        <w:pStyle w:val="BodyText"/>
        <w:rPr/>
      </w:pPr>
      <w:r>
        <w:rPr/>
        <w:t xml:space="preserve">The CalPX is required to exercise due care in carrying out its responsibilities under the CalPX Tariff.  (Complaint, Exh. 1, at § 3.1.)  </w:t>
      </w:r>
    </w:p>
    <w:p>
      <w:pPr>
        <w:pStyle w:val="Heading2"/>
        <w:ind w:hanging="0" w:start="0"/>
        <w:rPr/>
      </w:pPr>
      <w:bookmarkStart w:id="7" w:name="__RefHeading___Toc506271218"/>
      <w:bookmarkEnd w:id="7"/>
      <w:r>
        <w:rPr/>
        <w:t>The SCE and PG&amp;E Defaults</w:t>
      </w:r>
    </w:p>
    <w:p>
      <w:pPr>
        <w:pStyle w:val="BodyText"/>
        <w:rPr/>
      </w:pPr>
      <w:r>
        <w:rPr/>
        <w:t>The CalPX never required SCE to post any kind of collateral to cover its CalPX Core Market activities.  On January 18, 2001, SCE defaulted on its obligations to the CalPX in the amount of approximately $215 million.  On February 1, 2001, PG&amp;E defaulted on amounts due ISO (for which the CalPX is PG&amp;E’s Scheduling Coordinator) to the tune of $611 million.  And more is coming.  SCE has another approximately $733 million coming due to the CalPX and others by February 28, 2001; and PG&amp;E has another $100 million plus coming due February 15, 2001.</w:t>
      </w:r>
    </w:p>
    <w:p>
      <w:pPr>
        <w:pStyle w:val="BodyText"/>
        <w:rPr/>
      </w:pPr>
      <w:r>
        <w:rPr/>
        <w:t xml:space="preserve">But these momentous events did not come out of the blue.  They were foreseeable for a long time, and the CalPX, an energy “insider,” was in a particularly good position to see them coming.  </w:t>
      </w:r>
    </w:p>
    <w:p>
      <w:pPr>
        <w:pStyle w:val="Heading2"/>
        <w:ind w:hanging="0" w:start="0"/>
        <w:rPr/>
      </w:pPr>
      <w:bookmarkStart w:id="8" w:name="__RefHeading___Toc506271219"/>
      <w:bookmarkEnd w:id="8"/>
      <w:r>
        <w:rPr/>
        <w:t>Public Evidence of SCE’s and PG&amp;E’s Financial Extremis</w:t>
      </w:r>
    </w:p>
    <w:p>
      <w:pPr>
        <w:pStyle w:val="BodyText"/>
        <w:rPr/>
      </w:pPr>
      <w:r>
        <w:rPr/>
        <w:t>By late summer 2000, it was becoming obvious that the spike in wholesale electricity rates was threatening the financial integrity of PG&amp;E and SCE.  (</w:t>
      </w:r>
      <w:r>
        <w:rPr>
          <w:i/>
        </w:rPr>
        <w:t>See</w:t>
      </w:r>
      <w:r>
        <w:rPr/>
        <w:t xml:space="preserve"> Sabey Declaration and RJN exhibits referred to therein.)  Both SCE and PG&amp;E repeatedly sounded the alarm over a period of months in 2000 that they faced insolvency unless the problem was resolved expeditiously.  The matter was covered extensively by the press and was the subject of myriad public filings by the utilities at the State legislature, the CPUC and the FERC.</w:t>
      </w:r>
    </w:p>
    <w:p>
      <w:pPr>
        <w:pStyle w:val="BodyText"/>
        <w:rPr/>
      </w:pPr>
      <w:r>
        <w:rPr/>
        <w:t>During the course of the fall of 2000, both utilities saw their credit rating decline as the rating agencies continued to downgrade them based on mounting debts and declining cash reserves.  (RJN Exhs. D, M.)  By December 2000, both SCE and PG&amp;E were both publicly warning of the risk of imminent insolvency.  The steady decline, leading to imminent defaults, was a matter of well-documented public record, but the CalPX never acted to protect itself against their defaults.  Sabey Decl. ¶¶ 3-19.</w:t>
      </w:r>
    </w:p>
    <w:p>
      <w:pPr>
        <w:pStyle w:val="BodyText"/>
        <w:rPr/>
      </w:pPr>
      <w:r>
        <w:rPr/>
        <w:t>In testimony before the CPUC on December 22, 2000, representatives of both PG&amp;E and SCE projected that each utility would run out of cash within three to seven weeks.  The writing was on the wall, but the CalPX did not take any action.</w:t>
      </w:r>
    </w:p>
    <w:p>
      <w:pPr>
        <w:pStyle w:val="Heading2"/>
        <w:ind w:hanging="0" w:start="0"/>
        <w:rPr/>
      </w:pPr>
      <w:bookmarkStart w:id="9" w:name="__RefHeading___Toc506271220"/>
      <w:bookmarkEnd w:id="9"/>
      <w:r>
        <w:rPr/>
        <w:t>The CalPX’s Violation of Its Duties After SCE’s Default</w:t>
      </w:r>
    </w:p>
    <w:p>
      <w:pPr>
        <w:pStyle w:val="BodyText"/>
        <w:rPr/>
      </w:pPr>
      <w:r>
        <w:rPr/>
        <w:t xml:space="preserve">The CalPX’s failure to monitor the creditworthiness and solvency of its participants, and failure to require adequate collateral from them, was followed by another series of breaches.  The same day that SCE defaulted on $215 million in obligations to the CalPX, the CalPX issued “charge-back” notices to the other, non-defaulting participants, such as Avista Energy, in violation of the procedures it was required to follow under the Participation Agreement and CalPX Tariff.  </w:t>
      </w:r>
    </w:p>
    <w:p>
      <w:pPr>
        <w:pStyle w:val="BodyText"/>
        <w:rPr/>
      </w:pPr>
      <w:r>
        <w:rPr/>
        <w:t>The CalPX was required first to apply the “PX participant’s total collateral to recover the total loss in both markets.”  (CalPX Tariff, Exhibit 1 hereto, at § 5.1.)  But the CalPX did not first execute on SCE’s valuable Block-Forward Market contracts — estimated to have been worth approximately $650 million.</w:t>
      </w:r>
      <w:r>
        <w:rPr>
          <w:rStyle w:val="FootnoteCharacters"/>
          <w:rStyle w:val="FootnoteReference"/>
        </w:rPr>
        <w:footnoteReference w:id="2"/>
      </w:r>
      <w:r>
        <w:rPr/>
        <w:t xml:space="preserve">  And when the Los Angeles Superior Court later (on SCE’s application) temporarily enjoined the CalPX from executing on SCE’s Block</w:t>
        <w:noBreakHyphen/>
        <w:t xml:space="preserve">Forward Market contracts, the CalPX </w:t>
      </w:r>
      <w:r>
        <w:rPr>
          <w:u w:val="single"/>
        </w:rPr>
        <w:t>waived</w:t>
      </w:r>
      <w:r>
        <w:rPr/>
        <w:t xml:space="preserve"> the statutory undertaking required under California Code of Civil Procedure section 529, further acting to harm, rather than protect, the other CalPX participants.  When the injunction was lifted (on February 2, 2001), the Governor, under his emergency powers, also seized SCE’s Block</w:t>
        <w:noBreakHyphen/>
        <w:t>Forward Market contracts.  On February 5, 2001, the Governor, under his emergency powers, seized PG&amp;E’s Block</w:t>
        <w:noBreakHyphen/>
        <w:t xml:space="preserve">Forward Market contracts, which the CalPX has estimated are worth $347 million.  </w:t>
      </w:r>
    </w:p>
    <w:p>
      <w:pPr>
        <w:pStyle w:val="BodyText"/>
        <w:rPr/>
      </w:pPr>
      <w:r>
        <w:rPr/>
        <w:t>Fair compensation will be required to be paid by the state for SCE’s and PG&amp;E’s Block</w:t>
        <w:noBreakHyphen/>
        <w:t>Forward Market contracts.  The CalPX has publicly taken the position that it is the owner of those contracts, for purposes of the compensation to be paid by the state.  Thus, the CalPX must first collect on these assets before moving to secondary or tertiary collateral or at least provisionally deduct the estimated fair market value of the positions from the amounts subject to charge-back invoices.</w:t>
      </w:r>
    </w:p>
    <w:p>
      <w:pPr>
        <w:pStyle w:val="BodyText"/>
        <w:rPr/>
      </w:pPr>
      <w:r>
        <w:rPr/>
        <w:t xml:space="preserve">The CalPX was next required to draw on the pool performance bond.  The CalPX has made no representation or showing that it has successfully done that, or that it applied the proceeds from that bond before calculating and issuing the initial “charge-back” notices on January 18, 2001.  (Steiner Decl. ¶ 9.)  </w:t>
      </w:r>
    </w:p>
    <w:p>
      <w:pPr>
        <w:pStyle w:val="BodyText"/>
        <w:rPr/>
      </w:pPr>
      <w:r>
        <w:rPr/>
        <w:t>Only after proceeding against a participant’s total collateral, and only after drawing on the pool performance Bond, may the CalPX proceed to the last resort, charge</w:t>
        <w:noBreakHyphen/>
        <w:t>backs to other PX participants.</w:t>
      </w:r>
    </w:p>
    <w:p>
      <w:pPr>
        <w:pStyle w:val="BodyText"/>
        <w:rPr/>
      </w:pPr>
      <w:r>
        <w:rPr/>
        <w:t>The CalPX has taken pains to explain that proceeding against non-defaulting participants will take place only if all other actions (</w:t>
      </w:r>
      <w:r>
        <w:rPr>
          <w:i/>
        </w:rPr>
        <w:t>e.g.</w:t>
      </w:r>
      <w:r>
        <w:rPr/>
        <w:t>, taking defaulting party’s collateral and drawing on pool performance bond) fail.  RJN Exh. R.</w:t>
      </w:r>
    </w:p>
    <w:p>
      <w:pPr>
        <w:pStyle w:val="BodyText"/>
        <w:rPr/>
      </w:pPr>
      <w:r>
        <w:rPr/>
        <w:t xml:space="preserve">Instead of honoring these procedures, the CalPX immediately — on the very day SCE defaulted — went to what should only be the last recourse — issuing charge-back notices to the other CalPX participants and demanding immediate payment (or, in the case of Avista Energy, unilaterally withholding the initial $1,270,807 “charge-back” from monies due and owing from the CalPX to Avista Energy).  (Steiner Decl. ¶ 9.)  The CalPX issued another charge-back notice to Avista Energy a few days later, demanding payment within two days — this time for $16,494 (which Avista Energy paid under protest).  (Steiner Decl. ¶ 11.)  </w:t>
      </w:r>
    </w:p>
    <w:p>
      <w:pPr>
        <w:pStyle w:val="BodyText"/>
        <w:rPr/>
      </w:pPr>
      <w:r>
        <w:rPr/>
        <w:t>Finally, the most recent, and most substantial, charge</w:t>
        <w:noBreakHyphen/>
        <w:t xml:space="preserve">back that the CalPX has threatened to impose arises not from defaults in the CalPX Market, but rather from SCE’s and PG&amp;E’s $666 million defaults in the </w:t>
      </w:r>
      <w:r>
        <w:rPr>
          <w:i/>
        </w:rPr>
        <w:t>ISO</w:t>
      </w:r>
      <w:r>
        <w:rPr/>
        <w:t xml:space="preserve"> Real-Time Imbalance Market.  (Steiner Decl. ¶¶ 14, 15.)  This threatened charge</w:t>
        <w:noBreakHyphen/>
        <w:t xml:space="preserve">back is not only improper because CalPX has failed to follow its own procedures regarding the order of security, but also because CalPX has </w:t>
      </w:r>
      <w:r>
        <w:rPr>
          <w:i/>
        </w:rPr>
        <w:t>no authority</w:t>
      </w:r>
      <w:r>
        <w:rPr/>
        <w:t xml:space="preserve"> to impose charge</w:t>
        <w:noBreakHyphen/>
        <w:t>backs for defaults in the ISO market.</w:t>
      </w:r>
    </w:p>
    <w:p>
      <w:pPr>
        <w:pStyle w:val="BodyText"/>
        <w:rPr/>
      </w:pPr>
      <w:r>
        <w:rPr/>
        <w:t>The remedies for default in the ISO Real</w:t>
        <w:noBreakHyphen/>
        <w:t xml:space="preserve">Time Imbalance Market are set forth in the ISO Tariff, not the CalPX’s Core Market or CTS Tariff.  Section 11.16.1 of the ISO Tariff provides that if a Scheduling Coordinator (such as CalPX acting on behalf of SCE and PG&amp;E) fails to make a payment, the ISO should first exhaust any collateral the purchaser has posted and then spread the loss proportionally among the various entities selling into the ISO market, </w:t>
      </w:r>
      <w:r>
        <w:rPr>
          <w:i/>
        </w:rPr>
        <w:t>i.e.</w:t>
      </w:r>
      <w:r>
        <w:rPr/>
        <w:t>, the ISO Creditors.  The ISO is already taking steps to spread the impact of SCE’s and PG&amp;E’s defaults on a pro rata basis among ISO Market Participants.  Thus, the CalPX’s proposed charge</w:t>
        <w:noBreakHyphen/>
        <w:t>backs are inappropriate and duplicative of ISO actions.</w:t>
      </w:r>
    </w:p>
    <w:p>
      <w:pPr>
        <w:pStyle w:val="BodyText"/>
        <w:rPr/>
      </w:pPr>
      <w:r>
        <w:rPr/>
        <w:t>Moreover, Avista Energy withdrew from the CalPX Core Market and terminated its Participation Agreement on January 26, 2001.  (Steiner Decl. ¶ 12 and Exh. F thereto.)  Despite the fact that Avista Energy is no longer a “current participant” subject to charge-backs under the CalPX Tariff, the CalPX is continuing to issue charge-back invoices to Avista Energy as if it were still a current participant.  The next charge-back will reportedly be issued on February 8, 2001 for some $8 million dollars against Avista Energy, arising out of PG&amp;E’s $611 million default to the ISO.  (Steiner Decl. ¶¶ 14, 15.)  The problem is compounded by the fact that when other CalPX participants refuse to pay a charge</w:t>
        <w:noBreakHyphen/>
        <w:t xml:space="preserve">back, the CalPX simply reflexively seeks payment from all remaining CalPX participants who have paid, and without showing that it has exhausted the security posted by the defaulting member.  (Steiner Decl. ¶ 13.)  Thus, the risk of a continuing stream remains very real, with innocent CalPX participants such as Avista Energy being asked to bear an ever increasing burden.  </w:t>
      </w:r>
    </w:p>
    <w:p>
      <w:pPr>
        <w:pStyle w:val="Heading1"/>
        <w:rPr/>
      </w:pPr>
      <w:bookmarkStart w:id="10" w:name="__RefHeading___Toc506271221"/>
      <w:bookmarkEnd w:id="10"/>
      <w:r>
        <w:rPr/>
        <w:t>ARGUMENT</w:t>
      </w:r>
    </w:p>
    <w:p>
      <w:pPr>
        <w:pStyle w:val="BodyText"/>
        <w:rPr/>
      </w:pPr>
      <w:r>
        <w:rPr/>
        <w:t xml:space="preserve">This Court may issue a temporary restraining order where it clearly appears that immediate and irreparable injury will result unless the order is issued.  Fed. R. Civ. P. 65(b).  Such relief is appropriate where, as here, the applicant has demonstrated either (1) a combination of probable success on the merits and the possibility of irreparable harm, or (2) that serious questions are raised and the balance of hardships tips in the applicant’s favor.  </w:t>
      </w:r>
      <w:r>
        <w:rPr>
          <w:i/>
        </w:rPr>
        <w:t>Oakland Tribune, Inc. v. Chronicle Publ’g Co.</w:t>
      </w:r>
      <w:r>
        <w:rPr/>
        <w:t xml:space="preserve">, 762 F. 2d 1374, 1376 (9th Cir. 1985) (“[T]hese two formulations represent two points on a sliding scale in which the required degree of irreparable harm increases as the probability of success decreases.”); </w:t>
      </w:r>
      <w:r>
        <w:rPr>
          <w:i/>
        </w:rPr>
        <w:t>see also Apple Computer, Inc. v. Formula Int’l, Inc.</w:t>
      </w:r>
      <w:r>
        <w:rPr/>
        <w:t xml:space="preserve">, 562  F. Supp. 775, 783 (C.D. Cal. 1983), </w:t>
      </w:r>
      <w:r>
        <w:rPr>
          <w:i/>
        </w:rPr>
        <w:t>aff’d</w:t>
      </w:r>
      <w:r>
        <w:rPr/>
        <w:t>, 725 F.2d 521 (9th Cir. 1984).  In this case, Avista Energy can demonstrate a likelihood of success, the risk of irreparable harm, and that the balance of hardship tips in Avista Energy’s favor.</w:t>
      </w:r>
    </w:p>
    <w:p>
      <w:pPr>
        <w:pStyle w:val="Heading2"/>
        <w:ind w:hanging="0" w:start="0"/>
        <w:rPr/>
      </w:pPr>
      <w:bookmarkStart w:id="11" w:name="__RefHeading___Toc506271222"/>
      <w:bookmarkEnd w:id="11"/>
      <w:r>
        <w:rPr/>
        <w:t>Avista Energy Is Likely To Succeed on the Merits Because The CalPX Has Breached and Is Breaching Its Contractual and Fiduciary Obligations, and Is Converting Avista Energy’s Property</w:t>
      </w:r>
    </w:p>
    <w:p>
      <w:pPr>
        <w:pStyle w:val="BodyText"/>
        <w:rPr/>
      </w:pPr>
      <w:r>
        <w:rPr/>
        <w:t xml:space="preserve">Once SCE’s first, massive default to the CalPX occurred, it was too late for the CalPX successfully to obtain the security from SCE that it should have required long before; and it was too late to protect the other participants by suspending SCE’s trading activities.  The CalPX long ago should have acted to fulfill its obligations to the other CalPX participants not to allow SCE and PG&amp;E to continue trading in the CalPX markets on their unlimited unsecured lines of credit.  In direct violation of its duties under the Participation Agreement and the Tariff, the CalPX breached its most fundamental obligations to require all participants to demonstrate financial solvency and to post adequate security before trading in the CalPX markets.  </w:t>
      </w:r>
    </w:p>
    <w:p>
      <w:pPr>
        <w:pStyle w:val="BodyText"/>
        <w:rPr/>
      </w:pPr>
      <w:r>
        <w:rPr/>
        <w:t xml:space="preserve">Equally egregiously, the CalPX breached its obligations under the Participation Agreement and CalPX Tariff following SCE’s and PG&amp;E’s default.  Rather than acting to protect the innocent, non-defaulting participants, as it was required to do, the CalPX prematurely and precipitously took action </w:t>
      </w:r>
      <w:r>
        <w:rPr>
          <w:i/>
        </w:rPr>
        <w:t>against</w:t>
      </w:r>
      <w:r>
        <w:rPr/>
        <w:t xml:space="preserve"> them.  First, the CalPX failed to proceed against what security it claims it did have access to for SCE — its Block</w:t>
        <w:noBreakHyphen/>
        <w:t xml:space="preserve">Forward Market contracts, estimated to be worth $650 million.  Now the Governor has seized those contracts in February 2001, as well as PG&amp;E’s $347 million in block forward contracts.  And although the CalPX has publicly declared that it is the owner of those contracts, for purposes of the just compensation to be paid by the state, it did not and has not offset those hundreds of millions of dollars of assets against the SCE and PG&amp;E’s defaults and resulting “charge-back” assessments to Avista Energy and the other non-defaulting participants.  </w:t>
      </w:r>
    </w:p>
    <w:p>
      <w:pPr>
        <w:pStyle w:val="BodyText"/>
        <w:rPr/>
      </w:pPr>
      <w:r>
        <w:rPr/>
        <w:t xml:space="preserve">Nor has the CalPX shown that it had, as of January 18, 2001 — the date of SCE’s default and the date the CalPX issued the first charge-back invoices — drawn on the pool performance bond, and offset the amount of those proceeds against the default amount.  </w:t>
      </w:r>
    </w:p>
    <w:p>
      <w:pPr>
        <w:pStyle w:val="BodyText"/>
        <w:rPr/>
      </w:pPr>
      <w:r>
        <w:rPr/>
        <w:t xml:space="preserve">Instead, the CalPX immediately — </w:t>
      </w:r>
      <w:r>
        <w:rPr>
          <w:i/>
        </w:rPr>
        <w:t>on the very day SCE defaulted </w:t>
      </w:r>
      <w:r>
        <w:rPr/>
        <w:t xml:space="preserve">— started assessing SCE’s default against the innocent non-defaulting participants.  And the CalPX did not just </w:t>
      </w:r>
      <w:r>
        <w:rPr>
          <w:i/>
        </w:rPr>
        <w:t xml:space="preserve">demand </w:t>
      </w:r>
      <w:r>
        <w:rPr/>
        <w:t>payment from Avista Energy; the CalPX actually simultaneously paid itself out of amounts it was holding for Avista Energy and that were due to Avista Energy.  (Steiner Decl. ¶ 11.)</w:t>
      </w:r>
    </w:p>
    <w:p>
      <w:pPr>
        <w:pStyle w:val="BodyText"/>
        <w:rPr/>
      </w:pPr>
      <w:r>
        <w:rPr/>
        <w:t>CalPX imminently intends to commit the same violations with respect to the $8 million charge-back the CalPX has told Avista it will receive on February 8, 2001, for the PG&amp;E default in the ISO Market.  Steiner Decl. ¶ 15.  This threatened charge</w:t>
        <w:noBreakHyphen/>
        <w:t>back is even more egregious because the alleged default did not even occur in the CalPX Market.</w:t>
      </w:r>
    </w:p>
    <w:p>
      <w:pPr>
        <w:pStyle w:val="Heading2"/>
        <w:spacing w:before="360" w:after="120"/>
        <w:ind w:hanging="0" w:start="0"/>
        <w:rPr/>
      </w:pPr>
      <w:bookmarkStart w:id="12" w:name="__RefHeading___Toc506271223"/>
      <w:bookmarkEnd w:id="12"/>
      <w:r>
        <w:rPr/>
        <w:t>Avista Energy Will Be Irreparably Harmed If The CalPX Is Not Immediately Enjoined From Proceeding Against Avista Energy and Its Collateral</w:t>
      </w:r>
    </w:p>
    <w:p>
      <w:pPr>
        <w:pStyle w:val="BodyText"/>
        <w:rPr/>
      </w:pPr>
      <w:r>
        <w:rPr/>
        <w:t xml:space="preserve">Avista Energy will be irreparably harmed due to the CalPX’s wrongful assessments and withholding of its property.  First, the CalPX cannot respond in damages.  It functioned merely as an exchange and a clearinghouse; it has no substantial assets.  And the CalPX is now essentially out of business; it has already suspended its Core Market operations effective January 31, 2001, and laid off nearly all its employees.  (RJN Exhs. O, P.)  And most importantly, the charge-back amounts being paid to the CalPX are purportedly being collected to pay outstanding obligations, </w:t>
      </w:r>
      <w:r>
        <w:rPr>
          <w:i/>
        </w:rPr>
        <w:t>i.e</w:t>
      </w:r>
      <w:r>
        <w:rPr/>
        <w:t xml:space="preserve">., to pay CalPX creditors (sellers of energy through the CalPX that are owed money for those transactions).  (CalPX Tariff, Complaint Exh. 1, at Schedule 2, § 5.2.)  Thus, any charge-back amounts paid by Avista Energy will immediately be paid out by the CalPX to third parties, and become unrecoverable to Avista Energy.  And of course numerous other market participants have claims against CalPX similar to Avista Energy’s.  The PX itself may file a bankruptcy petition at any moment.  (Steiner Decl. ¶ 16.)  </w:t>
      </w:r>
    </w:p>
    <w:p>
      <w:pPr>
        <w:pStyle w:val="BodyText"/>
        <w:rPr/>
      </w:pPr>
      <w:r>
        <w:rPr/>
        <w:t xml:space="preserve">An injunction is appropriate where the injury is monetary in nature, if, for example, the defendant will be unable to respond in damages or the assets sought to be recovered will be dissipated by the defendant before judgment.  </w:t>
      </w:r>
      <w:r>
        <w:rPr>
          <w:i/>
        </w:rPr>
        <w:t>See Federal Trade Comm’n v. Pannos Mining Co.</w:t>
      </w:r>
      <w:r>
        <w:rPr/>
        <w:t>, Civ. No. 88</w:t>
        <w:noBreakHyphen/>
        <w:t xml:space="preserve">06453R 1988 U.S. Dist. LEXIS 14358, *2 (C.D. Cal. November 18, 1988) (TRO issued where substantial likelihood that absent the asset freeze, defendant would be unable to respond in damages, causing irreparable harm); </w:t>
      </w:r>
      <w:r>
        <w:rPr>
          <w:i/>
        </w:rPr>
        <w:t>Medtronic, Inc. v. Medical Design Research, Inc.</w:t>
      </w:r>
      <w:r>
        <w:rPr/>
        <w:t>, 398 F. Supp. 849, 854, (C.D. Cal. 1975) (injunction issued where “[d]efendants may not be able to respond in damages . . . if found liable”);</w:t>
      </w:r>
      <w:r>
        <w:rPr>
          <w:i/>
        </w:rPr>
        <w:t xml:space="preserve"> Brown v. Hermann</w:t>
      </w:r>
      <w:r>
        <w:rPr/>
        <w:t>, 551 F. Supp. 201, 202 (N.D. Cal. 1982) (defendant enjoined from withdrawing or transferring money in bank “accounts pending the outcome of [the] litigation” where court found plaintiff would be irreparably harmed  “as defendant would likely not be able to respond in money damages if he liquidated the trusts”).</w:t>
      </w:r>
      <w:r>
        <w:rPr>
          <w:rStyle w:val="FootnoteCharacters"/>
          <w:rStyle w:val="FootnoteReference"/>
        </w:rPr>
        <w:footnoteReference w:id="3"/>
      </w:r>
    </w:p>
    <w:p>
      <w:pPr>
        <w:pStyle w:val="BodyText"/>
        <w:rPr/>
      </w:pPr>
      <w:r>
        <w:rPr/>
        <w:t xml:space="preserve">Irreparable harm also arises from a defendant's imminent insolvency.  In </w:t>
      </w:r>
      <w:r>
        <w:rPr>
          <w:i/>
        </w:rPr>
        <w:t>Deckert v. Independence Shares Corp.</w:t>
      </w:r>
      <w:r>
        <w:rPr/>
        <w:t xml:space="preserve">, 311 U.S. 282, 290, 61 S.Ct. 229, 234 (1940), for example, the Supreme Court held that a preliminary injunction, restraining the defendant from transferring or disposing of any of its assets, was authorized to maintain the status quo where defendant was likely to be insolvent at the time of the judgment.  An injunction was appropriate based upon defendant’s imminent insolvency because “the legal remedy against [defendant] . . . would be inadequate.”  </w:t>
      </w:r>
      <w:r>
        <w:rPr>
          <w:i/>
        </w:rPr>
        <w:t>Id</w:t>
      </w:r>
      <w:r>
        <w:rPr/>
        <w:t xml:space="preserve">. at 290, 61 S.Ct. 229 at 234.  </w:t>
      </w:r>
      <w:r>
        <w:rPr>
          <w:i/>
        </w:rPr>
        <w:t>See also Hilao v. Estate of Ferdinand Marcos</w:t>
      </w:r>
      <w:r>
        <w:rPr/>
        <w:t xml:space="preserve">, 25 F.3d 1467, 1480 (9th Cir. 1994) (“We join the majority of circuits in concluding that a district court has authority to issue a preliminary injunction where the plaintiffs can establish that money damages will be an inadequate remedy due to impending insolvency of the defendant . . .”); </w:t>
      </w:r>
      <w:r>
        <w:rPr>
          <w:i/>
        </w:rPr>
        <w:t>Brenntag Int’l Chemicals, Inc. v. Bank of India</w:t>
      </w:r>
      <w:r>
        <w:rPr/>
        <w:t xml:space="preserve">, 175 F.3d 245, 249-50 (2d Cir. 1999) (irreparable harm based upon insolvency of defendant together with fact that plaintiff would be left with weaker claims against non-insolvent parties); </w:t>
      </w:r>
      <w:r>
        <w:rPr>
          <w:i/>
        </w:rPr>
        <w:t>Federated Strategic Income Fund v. Mechala Group Jamaica Ltd.</w:t>
      </w:r>
      <w:r>
        <w:rPr/>
        <w:t xml:space="preserve">, No. 99 Civ. 10517-HB, 1999 WL 993648, at *8, 1999 U.S. Dist. LEXIS 16996 at *24 (S.D.N.Y. November 2, 1999) (irreparable harm due to defendant’s planned insolvency); </w:t>
      </w:r>
      <w:r>
        <w:rPr>
          <w:i/>
        </w:rPr>
        <w:t>American Hosp. Supply Corp. v. Hosp. Prods. Ltd.</w:t>
      </w:r>
      <w:r>
        <w:rPr/>
        <w:t>, 780 F. 2d 589, 596 (7th Cir. 1986) (“defendant’s insolvency is a standard ground for concluding that a plaintiff’s harm . . . will not be cured by an award of damages at the end of the trial").</w:t>
      </w:r>
      <w:r>
        <w:rPr>
          <w:rStyle w:val="FootnoteCharacters"/>
          <w:rStyle w:val="FootnoteReference"/>
        </w:rPr>
        <w:footnoteReference w:id="4"/>
      </w:r>
    </w:p>
    <w:p>
      <w:pPr>
        <w:pStyle w:val="BodyText"/>
        <w:rPr/>
      </w:pPr>
      <w:r>
        <w:rPr/>
        <w:t xml:space="preserve">Here, it is beyond dispute that the CalPX has no assets and will have no assets sufficient to satisfy Avista Energy’s (and the other market participants’) claims against it for the wrongful assessments.  Not only that, the assessments the CalPX is collecting it will immediately pay out to the creditors; that is the purpose of the collection.  The CalPX functions as a clearinghouse.  In short, once Avista Energy pays the assessments, it likely will never get the money back from the CalPX.  </w:t>
      </w:r>
    </w:p>
    <w:p>
      <w:pPr>
        <w:pStyle w:val="BodyText"/>
        <w:rPr/>
      </w:pPr>
      <w:r>
        <w:rPr/>
        <w:t xml:space="preserve">An injunction also is appropriate where it is necessary to prevent a multiplicity of judicial proceedings.  </w:t>
      </w:r>
      <w:r>
        <w:rPr>
          <w:i/>
        </w:rPr>
        <w:t>See Continental Airlines, Inc. v. Intra Brokers, Inc.</w:t>
      </w:r>
      <w:r>
        <w:rPr/>
        <w:t>, 24 F.3d 1099, 1104-05 (9th Cir. 1994) (that a “multiplicity of suits” would be necessary to redress harm if an injunction was denied, “establish[es] the inadequacy of a legal remedy,”</w:t>
      </w:r>
      <w:r>
        <w:rPr>
          <w:i/>
        </w:rPr>
        <w:t xml:space="preserve"> citing Bitterman v. Louisville &amp; Nashville R.R. Co.,</w:t>
      </w:r>
      <w:r>
        <w:rPr/>
        <w:t xml:space="preserve"> 207 U.S. 205, 28 S.Ct. 91 (1907)); </w:t>
      </w:r>
      <w:r>
        <w:rPr>
          <w:i/>
        </w:rPr>
        <w:t>Koniag, Inc. v. Koncor Forest Res.</w:t>
      </w:r>
      <w:r>
        <w:rPr/>
        <w:t>, 39 F.3d 991, 1000 n.9 (9th Cir. 1994) (“no adequate legal remedy” if “only recourse, short of an in injunction, is a multiplicity of damage suits”).</w:t>
      </w:r>
      <w:r>
        <w:rPr>
          <w:rStyle w:val="FootnoteCharacters"/>
          <w:rStyle w:val="FootnoteReference"/>
        </w:rPr>
        <w:footnoteReference w:id="5"/>
      </w:r>
      <w:r>
        <w:rPr/>
        <w:t xml:space="preserve"> </w:t>
      </w:r>
    </w:p>
    <w:p>
      <w:pPr>
        <w:pStyle w:val="BodyText"/>
        <w:rPr/>
      </w:pPr>
      <w:r>
        <w:rPr/>
        <w:t xml:space="preserve">Unless the CalPX is enjoined from issuing further charge-back orders based on SCE’s and PG&amp;E’s defaults, a multiplicity of lawsuits is a certainty.  Because the CalPX has no assets, Avista Energy, and probably many of the other market participants who are in a similar position, will have to attempt to proceed against third parties who receive the funds, possibly against other CalPX participants to whom its funds were dissipated, and against SCE and PG&amp;E (which are insolvent).  Furthermore, any default by any market participant subjects it to potential lawsuits by non-defaulting participants who have paid exactments by the CalPX under its “charge-back” procedures.  An injunction will permit the rights of the CalPX and Avista Energy to be determined in one action, and before the funds are dissipated. </w:t>
      </w:r>
    </w:p>
    <w:p>
      <w:pPr>
        <w:pStyle w:val="BodyText"/>
        <w:rPr/>
      </w:pPr>
      <w:r>
        <w:rPr/>
        <w:t xml:space="preserve">And if Avista Energy does not pay the wrongful charge-backs, the CalPX will either withhold the amounts from the some $1.5 million that will come due from the CalPX to Avista Energy on February 19, 2001, or proceed against Avista Energy’s collateral, or both.  (Steiner Decl. ¶ 15.)  Avista Energy has an outstanding irrevocable standby letter of credit in the amount of $500,000 issued by Bank of America, as security for its obligations to the CalPX.  (Steiner Decl. ¶ 5 and Exh. B thereto.)  If the CalPX draws down Avista Energy’s letter of credit, those amounts — like the amounts Avista Energy has already paid and those the CalPX has withheld from amounts owing to Avista Energy — will be gone forever, with no possibility of recovery from the CalPX.  </w:t>
      </w:r>
      <w:r>
        <w:rPr>
          <w:i/>
        </w:rPr>
        <w:t>See Brenntag Int’l Chemicals, Inc. v. Bank of India</w:t>
      </w:r>
      <w:r>
        <w:rPr/>
        <w:t>, 175 F. 3d 245, 249-250 (2d Cir. 1999) (defendant enjoined from drawing upon irrevocable standby letter of credit).</w:t>
      </w:r>
      <w:r>
        <w:rPr>
          <w:rStyle w:val="FootnoteCharacters"/>
          <w:rStyle w:val="FootnoteReference"/>
        </w:rPr>
        <w:footnoteReference w:id="6"/>
      </w:r>
      <w:r>
        <w:rPr/>
        <w:t xml:space="preserve"> </w:t>
      </w:r>
    </w:p>
    <w:p>
      <w:pPr>
        <w:pStyle w:val="BodyText"/>
        <w:rPr/>
      </w:pPr>
      <w:r>
        <w:rPr/>
        <w:t xml:space="preserve">Moreover, declaring Avista Energy in default — of potentially enormous sums — and drawing on its letter of credit may harm Avista Energy’s business relationships and reputation — injuries not easily calculable in money damages.  (Steiner Decl. ¶ 18.)  </w:t>
      </w:r>
      <w:r>
        <w:rPr>
          <w:i/>
        </w:rPr>
        <w:t>See, e.g., San Antonio Cmty. Hosp. v. Southern Cal. Dist. Counsel of Carpenters</w:t>
      </w:r>
      <w:r>
        <w:rPr/>
        <w:t>, 125 F.3d 1230, 1238 n.5 (9th Cir. 1997) (“lost administrative time and damage to the Hospital’s reputation and fund-raising ability” irreparable injury).  It may also cause counterparties to other of Avista Energy’s contracts to seek further assurances.  (Steiner Decl. ¶ 18.)</w:t>
      </w:r>
    </w:p>
    <w:p>
      <w:pPr>
        <w:pStyle w:val="BodyText"/>
        <w:rPr/>
      </w:pPr>
      <w:r>
        <w:rPr/>
        <w:t xml:space="preserve">Finally, even if it were proper for the CalPX to be issuing charge-backs, it is premature.  The CalPX has not offset the value of the SCE and PG&amp;E Block-Forward Market contracts — to which it claims a right — against the defaults.  The CalPX has asserted that it is the owner of those contracts for purposes of the compensation to be paid by the state for them.  Those amounts must be first offset against the SCE and PG&amp;E defaults, before determining whether any amounts remain that </w:t>
      </w:r>
      <w:r>
        <w:rPr>
          <w:i/>
        </w:rPr>
        <w:t>could</w:t>
      </w:r>
      <w:r>
        <w:rPr/>
        <w:t xml:space="preserve"> legitimately be charged back to the participants.  Nor has it offset the proceeds of the pool performance bond against the defaults.  </w:t>
      </w:r>
    </w:p>
    <w:p>
      <w:pPr>
        <w:pStyle w:val="BodyText"/>
        <w:rPr/>
      </w:pPr>
      <w:r>
        <w:rPr/>
        <w:t xml:space="preserve">For all of these reasons, Avista Energy will be irreparably harmed if the CalPX’s wrongful conduct is not immediately enjoined.  In contrast, such an order would cause no significant harm to the CalPX.  The status quo must be maintained pending a determination of the merits, and an assessment of the value of the SCE and PG&amp;E Block-Forward Market contracts.  </w:t>
      </w:r>
    </w:p>
    <w:p>
      <w:pPr>
        <w:pStyle w:val="Heading1"/>
        <w:rPr/>
      </w:pPr>
      <w:bookmarkStart w:id="13" w:name="__RefHeading___Toc506271224"/>
      <w:bookmarkEnd w:id="13"/>
      <w:r>
        <w:rPr/>
        <w:t>CONCLUSION</w:t>
      </w:r>
    </w:p>
    <w:p>
      <w:pPr>
        <w:pStyle w:val="BodyText"/>
        <w:rPr/>
      </w:pPr>
      <w:r>
        <w:rPr/>
        <w:t>For all of the reasons stated above, Avista Energy respectfully requests that this Court issue a temporary restraining order enjoining the CalPX from issuing any additional charge</w:t>
        <w:noBreakHyphen/>
        <w:t>back notices to Avista Energy resulting from SCE’s, PG&amp;E’s or other CalPX participants’ defaults; taking any action to collect on any charge</w:t>
        <w:noBreakHyphen/>
        <w:t>back notices previously issued to Avista Energy, including offsetting amounts otherwise due to Avista Energy or its affiliates based upon a charge</w:t>
        <w:noBreakHyphen/>
        <w:t xml:space="preserve">back notice; and taking any action to draw down, liquidate, transfer, assign or call upon any collateral posted by Avista Energy (including its letter of credit).  </w:t>
      </w:r>
    </w:p>
    <w:p>
      <w:pPr>
        <w:pStyle w:val="Normal"/>
        <w:keepNext w:val="true"/>
        <w:tabs>
          <w:tab w:val="clear" w:pos="720"/>
          <w:tab w:val="left" w:pos="4320" w:leader="none"/>
        </w:tabs>
        <w:spacing w:before="240" w:after="0"/>
        <w:rPr/>
      </w:pPr>
      <w:r>
        <w:rPr>
          <w:caps/>
        </w:rPr>
        <w:t>Dated</w:t>
      </w:r>
      <w:r>
        <w:rPr/>
        <w:t>:  February 8, 2001</w:t>
        <w:tab/>
        <w:t xml:space="preserve">MORRISON &amp; FOERSTER </w:t>
      </w:r>
      <w:r>
        <w:rPr>
          <w:smallCaps/>
        </w:rPr>
        <w:t>llp</w:t>
      </w:r>
    </w:p>
    <w:p>
      <w:pPr>
        <w:pStyle w:val="SignatureBlock"/>
        <w:rPr/>
      </w:pPr>
      <w:r>
        <w:rPr/>
        <w:t>GORDON P. ERSPAMER</w:t>
      </w:r>
    </w:p>
    <w:p>
      <w:pPr>
        <w:pStyle w:val="SignatureBlock"/>
        <w:rPr/>
      </w:pPr>
      <w:r>
        <w:rPr/>
        <w:t>DIANE E. PRITCHARD</w:t>
      </w:r>
    </w:p>
    <w:p>
      <w:pPr>
        <w:pStyle w:val="SignatureBlock"/>
        <w:rPr/>
      </w:pPr>
      <w:r>
        <w:rPr/>
        <w:t>ANDREW B. SABEY</w:t>
      </w:r>
    </w:p>
    <w:p>
      <w:pPr>
        <w:pStyle w:val="SignatureBlock"/>
        <w:rPr/>
      </w:pPr>
      <w:r>
        <w:rPr/>
      </w:r>
    </w:p>
    <w:p>
      <w:pPr>
        <w:pStyle w:val="SignatureBlock"/>
        <w:rPr/>
      </w:pPr>
      <w:r>
        <w:rPr/>
      </w:r>
    </w:p>
    <w:p>
      <w:pPr>
        <w:pStyle w:val="SignatureBlock"/>
        <w:rPr/>
      </w:pPr>
      <w:r>
        <w:rPr/>
      </w:r>
    </w:p>
    <w:p>
      <w:pPr>
        <w:pStyle w:val="SignatureBlock"/>
        <w:rPr/>
      </w:pPr>
      <w:r>
        <w:rPr/>
        <w:t>By</w:t>
      </w:r>
      <w:r>
        <w:rPr>
          <w:u w:val="single"/>
        </w:rPr>
        <w:tab/>
      </w:r>
    </w:p>
    <w:p>
      <w:pPr>
        <w:pStyle w:val="ClientIndented"/>
        <w:spacing w:before="120" w:after="0"/>
        <w:ind w:start="4680" w:end="0"/>
        <w:rPr/>
      </w:pPr>
      <w:r>
        <w:rPr/>
        <w:t>Diane E. Pritchard</w:t>
      </w:r>
    </w:p>
    <w:p>
      <w:pPr>
        <w:pStyle w:val="ClientIndented"/>
        <w:spacing w:before="120" w:after="0"/>
        <w:ind w:start="4680" w:end="0"/>
        <w:rPr/>
      </w:pPr>
      <w:r>
        <w:rPr/>
        <w:t>Attorneys for Plaintiff</w:t>
      </w:r>
    </w:p>
    <w:p>
      <w:pPr>
        <w:pStyle w:val="ClientIndented"/>
        <w:ind w:start="4680" w:end="0"/>
        <w:rPr>
          <w:caps/>
        </w:rPr>
      </w:pPr>
      <w:r>
        <w:rPr>
          <w:caps/>
        </w:rPr>
        <w:t>AVISTA ENERGY, INC.</w:t>
      </w:r>
    </w:p>
    <w:p>
      <w:pPr>
        <w:pStyle w:val="PleadingCaption"/>
        <w:rPr>
          <w:caps/>
        </w:rPr>
      </w:pPr>
      <w:r>
        <w:rPr>
          <w:caps/>
        </w:rPr>
      </w:r>
    </w:p>
    <w:sectPr>
      <w:headerReference w:type="default" r:id="rId8"/>
      <w:headerReference w:type="first" r:id="rId9"/>
      <w:footerReference w:type="default" r:id="rId10"/>
      <w:footerReference w:type="first" r:id="rId11"/>
      <w:footnotePr>
        <w:numFmt w:val="decimal"/>
      </w:footnotePr>
      <w:type w:val="nextPage"/>
      <w:pgSz w:w="12240" w:h="15840"/>
      <w:pgMar w:left="2088" w:right="720" w:gutter="0" w:header="475" w:top="1267" w:footer="504" w:bottom="1325"/>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Black">
    <w:charset w:val="00" w:characterSet="windows-1252"/>
    <w:family w:val="swiss"/>
    <w:pitch w:val="variable"/>
  </w:font>
  <w:font w:name="Garamond">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center" w:pos="7920" w:leader="none"/>
        <w:tab w:val="right" w:pos="8640" w:leader="none"/>
      </w:tabs>
      <w:rPr>
        <w:rStyle w:val="PageNumber"/>
        <w:smallCaps/>
      </w:rPr>
    </w:pPr>
    <w:r>
      <w:rPr>
        <w:smallCaps/>
        <w:sz w:val="20"/>
      </w:rPr>
      <w:t>case no. CV 01-01244 MMM (Mcx)</w:t>
    </w:r>
  </w:p>
  <w:p>
    <w:pPr>
      <w:pStyle w:val="Footer"/>
      <w:tabs>
        <w:tab w:val="clear" w:pos="4320"/>
        <w:tab w:val="center" w:pos="4860" w:leader="none"/>
        <w:tab w:val="center" w:pos="7920" w:leader="none"/>
        <w:tab w:val="right" w:pos="8640" w:leader="none"/>
      </w:tabs>
      <w:rPr/>
    </w:pPr>
    <w:r>
      <w:rPr>
        <w:rStyle w:val="PageNumber"/>
        <w:smallCaps/>
        <w:sz w:val="20"/>
      </w:rPr>
      <w:t>avista energy’s memo in support of application for tro and motion for preliminary injunction</w:t>
    </w:r>
  </w:p>
  <w:p>
    <w:pPr>
      <w:pStyle w:val="Footer"/>
      <w:spacing w:lineRule="atLeast" w:line="1"/>
      <w:rPr/>
    </w:pPr>
    <w:r>
      <w:rPr>
        <w:rStyle w:val="PageNumber"/>
        <w:smallCaps/>
        <w:vanish/>
        <w:sz w:val="20"/>
      </w:rPr>
      <w:t>|</w:t>
    </w:r>
    <w:r>
      <w:rPr>
        <w:rStyle w:val="PageNumber"/>
        <w:smallCaps/>
        <w:sz w:val="20"/>
      </w:rPr>
      <w:t>wc-51259</w:t>
    </w:r>
    <w:r>
      <w:rPr>
        <w:rStyle w:val="PageNumber"/>
        <w:smallCaps/>
        <w:vanish/>
        <w:sz w:val="2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center" w:pos="7920" w:leader="none"/>
        <w:tab w:val="right" w:pos="8640" w:leader="none"/>
      </w:tabs>
      <w:rPr>
        <w:rStyle w:val="PageNumber"/>
        <w:b/>
        <w:smallCaps/>
      </w:rPr>
    </w:pPr>
    <w:r>
      <w:rPr>
        <w:smallCaps/>
        <w:sz w:val="20"/>
      </w:rPr>
      <w:t>case no. CV 01-01244 MMM (Mcx)</w:t>
    </w:r>
    <w:r>
      <w:rPr>
        <w:b/>
        <w:smallCaps/>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p>
    <w:pPr>
      <w:pStyle w:val="Footer"/>
      <w:tabs>
        <w:tab w:val="clear" w:pos="4320"/>
        <w:tab w:val="center" w:pos="4860" w:leader="none"/>
        <w:tab w:val="center" w:pos="7920" w:leader="none"/>
        <w:tab w:val="right" w:pos="8640" w:leader="none"/>
      </w:tabs>
      <w:rPr/>
    </w:pPr>
    <w:r>
      <w:rPr>
        <w:rStyle w:val="PageNumber"/>
        <w:smallCaps/>
        <w:sz w:val="20"/>
      </w:rPr>
      <w:t>avista energy’s memo in support of application for tro and motion for preliminary injunction</w:t>
    </w:r>
  </w:p>
  <w:p>
    <w:pPr>
      <w:pStyle w:val="Footer"/>
      <w:spacing w:lineRule="atLeast" w:line="1"/>
      <w:rPr/>
    </w:pPr>
    <w:r>
      <w:rPr>
        <w:rStyle w:val="PageNumber"/>
        <w:smallCaps/>
        <w:vanish/>
        <w:sz w:val="20"/>
      </w:rPr>
      <w:t>|</w:t>
    </w:r>
    <w:r>
      <w:rPr>
        <w:rStyle w:val="PageNumber"/>
        <w:smallCaps/>
        <w:sz w:val="20"/>
      </w:rPr>
      <w:t>wc-51259</w:t>
    </w:r>
    <w:r>
      <w:rPr>
        <w:rStyle w:val="PageNumber"/>
        <w:smallCaps/>
        <w:vanish/>
        <w:sz w:val="20"/>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center" w:pos="7920" w:leader="none"/>
        <w:tab w:val="right" w:pos="8640" w:leader="none"/>
      </w:tabs>
      <w:rPr>
        <w:rStyle w:val="PageNumber"/>
        <w:smallCaps/>
      </w:rPr>
    </w:pPr>
    <w:r>
      <w:rPr>
        <w:smallCaps/>
        <w:sz w:val="20"/>
      </w:rPr>
      <w:t>case no. CV 01-01244 MMM (Mcx)</w:t>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tabs>
        <w:tab w:val="clear" w:pos="4320"/>
        <w:tab w:val="center" w:pos="4860" w:leader="none"/>
        <w:tab w:val="center" w:pos="7920" w:leader="none"/>
        <w:tab w:val="right" w:pos="8640" w:leader="none"/>
      </w:tabs>
      <w:rPr/>
    </w:pPr>
    <w:r>
      <w:rPr>
        <w:rStyle w:val="PageNumber"/>
        <w:smallCaps/>
        <w:sz w:val="20"/>
      </w:rPr>
      <w:t>avista energy’s memo in support of application for tro and motion for preliminary injunction</w:t>
    </w:r>
  </w:p>
  <w:p>
    <w:pPr>
      <w:pStyle w:val="Footer"/>
      <w:spacing w:lineRule="atLeast" w:line="1"/>
      <w:rPr/>
    </w:pPr>
    <w:r>
      <w:rPr>
        <w:rStyle w:val="PageNumber"/>
        <w:smallCaps/>
        <w:vanish/>
        <w:sz w:val="20"/>
      </w:rPr>
      <w:t>|</w:t>
    </w:r>
    <w:r>
      <w:rPr>
        <w:rStyle w:val="PageNumber"/>
        <w:smallCaps/>
        <w:sz w:val="20"/>
      </w:rPr>
      <w:t>wc-51259</w:t>
    </w:r>
    <w:r>
      <w:rPr>
        <w:rStyle w:val="PageNumber"/>
        <w:smallCaps/>
        <w:vanish/>
        <w:sz w:val="20"/>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240" w:after="0"/>
        <w:ind w:firstLine="720" w:start="0" w:end="0"/>
        <w:rPr/>
      </w:pPr>
      <w:r>
        <w:rPr>
          <w:rStyle w:val="FootnoteCharacters"/>
        </w:rPr>
        <w:footnoteRef/>
      </w:r>
      <w:r>
        <w:rPr/>
        <w:t xml:space="preserve"> </w:t>
      </w:r>
      <w:r>
        <w:rPr/>
        <w:t>The Core Market and Block</w:t>
        <w:noBreakHyphen/>
        <w:t>Forward (CTS) Market are cross-collateralized; if a participant defaults in one market, it is deemed to have defaulted in both.  Section 6.76 of the CTS Rate Schedule specifically authorizes the CalPX to “sell or liquidate as agent or attorney-in-fact for the defaulting BFM Participant, any matches [block forward contracts] it may then hold in the Block Forward Market.”</w:t>
      </w:r>
    </w:p>
  </w:footnote>
  <w:footnote w:id="3">
    <w:p>
      <w:pPr>
        <w:pStyle w:val="FootnoteText"/>
        <w:spacing w:before="240" w:after="0"/>
        <w:ind w:firstLine="720" w:start="0" w:end="0"/>
        <w:rPr/>
      </w:pPr>
      <w:r>
        <w:rPr>
          <w:rStyle w:val="FootnoteCharacters"/>
        </w:rPr>
        <w:footnoteRef/>
      </w:r>
      <w:r>
        <w:rPr/>
        <w:t xml:space="preserve"> </w:t>
      </w:r>
      <w:r>
        <w:rPr/>
        <w:t xml:space="preserve">California law is in accord.  </w:t>
      </w:r>
      <w:r>
        <w:rPr>
          <w:i/>
        </w:rPr>
        <w:t>See Wind v. Bow Herbert</w:t>
      </w:r>
      <w:r>
        <w:rPr/>
        <w:t xml:space="preserve">, 186  Cal. App. 2d 276, 286 (1960) (preliminary injunction to assure that “partnership assets will remain intact pending an accounting and a final hearing on the merits”); </w:t>
      </w:r>
      <w:r>
        <w:rPr>
          <w:i/>
        </w:rPr>
        <w:t>Heckman v. Ahmanson</w:t>
      </w:r>
      <w:r>
        <w:rPr/>
        <w:t>, 168 Cal. App. 3d 119, 136 (1985) (injunction to prevent dissipating profit from sale of stock.  “[A]bsent injunctive relief, plaintiffs would be left with a ‘naked claim for damages . . . to be obtained through an action at law’”).</w:t>
      </w:r>
    </w:p>
  </w:footnote>
  <w:footnote w:id="4">
    <w:p>
      <w:pPr>
        <w:pStyle w:val="FootnoteText"/>
        <w:spacing w:before="240" w:after="0"/>
        <w:ind w:firstLine="720" w:start="0" w:end="0"/>
        <w:rPr/>
      </w:pPr>
      <w:r>
        <w:rPr>
          <w:rStyle w:val="FootnoteCharacters"/>
        </w:rPr>
        <w:footnoteRef/>
      </w:r>
      <w:r>
        <w:rPr/>
        <w:t xml:space="preserve"> </w:t>
      </w:r>
      <w:r>
        <w:rPr/>
        <w:t xml:space="preserve">California authority similarly finds that defendant’s imminent insolvency demonstrates irreparable harm and an inadequate remedy at law.  </w:t>
      </w:r>
      <w:r>
        <w:rPr>
          <w:i/>
        </w:rPr>
        <w:t>See, e.g., West Coast Constr. Co. v. Oceano Sanitary Dist.</w:t>
      </w:r>
      <w:r>
        <w:rPr/>
        <w:t xml:space="preserve">, 17 Cal. App. 3d 693, 700 (1971) (where plaintiff alleged defendant insolvent, injunction “reasonably necessary . . . to maintain status quo. . . .  or otherwise unable to respond in damages . . . . Otherwise, appellant could have deliberately stripped himself of all assets and made it impossible for him to pay any judgment that might be secured.”); </w:t>
      </w:r>
      <w:r>
        <w:rPr>
          <w:i/>
        </w:rPr>
        <w:t xml:space="preserve">Union Oil Co. of Cal. v. Domengeaux, </w:t>
      </w:r>
      <w:r>
        <w:rPr/>
        <w:t>30  Cal. App. 2d 266, 272 (1939) (insolvency of defendants a factor in granting injunction).</w:t>
      </w:r>
    </w:p>
  </w:footnote>
  <w:footnote w:id="5">
    <w:p>
      <w:pPr>
        <w:pStyle w:val="FootnoteText"/>
        <w:spacing w:before="240" w:after="0"/>
        <w:ind w:firstLine="720" w:start="0" w:end="0"/>
        <w:rPr/>
      </w:pPr>
      <w:r>
        <w:rPr>
          <w:rStyle w:val="FootnoteCharacters"/>
        </w:rPr>
        <w:footnoteRef/>
      </w:r>
      <w:r>
        <w:rPr/>
        <w:t xml:space="preserve"> </w:t>
      </w:r>
      <w:r>
        <w:rPr/>
        <w:t xml:space="preserve">For similar California authority, </w:t>
      </w:r>
      <w:r>
        <w:rPr>
          <w:i/>
        </w:rPr>
        <w:t>see Woodbine v. Van Horn,</w:t>
      </w:r>
      <w:r>
        <w:rPr/>
        <w:t xml:space="preserve"> 29 Cal. 2d 95, 108 (1946) (“because of [defendant’s] financial condition, he could not respond in damages and a multiplicity of suits would result if [plaintiff] was required to maintain an action for each conversion”); </w:t>
      </w:r>
      <w:r>
        <w:rPr>
          <w:i/>
        </w:rPr>
        <w:t>Wellborn v. Wellborn</w:t>
      </w:r>
      <w:r>
        <w:rPr/>
        <w:t>, 67  Cal. App. 2d 540, 545 (1945) (“injunction was in conformity with established practice under which courts of equity act to prevent a multiplicity of suits”).</w:t>
      </w:r>
    </w:p>
  </w:footnote>
  <w:footnote w:id="6">
    <w:p>
      <w:pPr>
        <w:pStyle w:val="FootnoteText"/>
        <w:spacing w:before="240" w:after="0"/>
        <w:ind w:firstLine="720" w:start="0" w:end="0"/>
        <w:rPr/>
      </w:pPr>
      <w:r>
        <w:rPr>
          <w:rStyle w:val="FootnoteCharacters"/>
        </w:rPr>
        <w:footnoteRef/>
      </w:r>
      <w:r>
        <w:rPr/>
        <w:t xml:space="preserve"> </w:t>
      </w:r>
      <w:r>
        <w:rPr/>
        <w:t xml:space="preserve">Again, California law is in accord.  </w:t>
      </w:r>
      <w:r>
        <w:rPr>
          <w:i/>
        </w:rPr>
        <w:t>See, e.g., Mitsui Mfr. Banks v. Tex. Commerce Bank-Fort Worth</w:t>
      </w:r>
      <w:r>
        <w:rPr/>
        <w:t xml:space="preserve">, 159  Cal. App. 3d 1051, 1059 (1984) (beneficiary may be enjoined from drawing on a letter of credit).  </w:t>
      </w:r>
      <w:r>
        <w:rPr>
          <w:i/>
        </w:rPr>
        <w:t>See also Steinmeyer v. Warner Consol. Corp.</w:t>
      </w:r>
      <w:r>
        <w:rPr/>
        <w:t>, 42 Cal. App. 3d 515 (1974) (upheld injunction prohibiting beneficiary from drawing on letter of credit).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6560820" cy="9448800"/>
              <wp:effectExtent l="0" t="0" r="0" b="0"/>
              <wp:wrapNone/>
              <wp:docPr id="1" name="Frame2"/>
              <a:graphic xmlns:a="http://schemas.openxmlformats.org/drawingml/2006/main">
                <a:graphicData uri="http://schemas.microsoft.com/office/word/2010/wordprocessingShape">
                  <wps:wsp>
                    <wps:cNvSpPr txBox="1"/>
                    <wps:spPr>
                      <a:xfrm>
                        <a:off x="0" y="0"/>
                        <a:ext cx="6560820" cy="94488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bookmarkStart w:id="0" w:name="LineNo"/>
                                <w:bookmarkEnd w:id="0"/>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16.6pt;height:744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bookmarkStart w:id="1" w:name="LineNo"/>
                          <w:bookmarkEnd w:id="1"/>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6560820" cy="9601200"/>
              <wp:effectExtent l="0" t="0" r="0" b="0"/>
              <wp:wrapNone/>
              <wp:docPr id="2" name="Frame4"/>
              <a:graphic xmlns:a="http://schemas.openxmlformats.org/drawingml/2006/main">
                <a:graphicData uri="http://schemas.microsoft.com/office/word/2010/wordprocessingShape">
                  <wps:wsp>
                    <wps:cNvSpPr txBox="1"/>
                    <wps:spPr>
                      <a:xfrm>
                        <a:off x="0" y="0"/>
                        <a:ext cx="6560820" cy="96012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p>
                          <w:pPr>
                            <w:pStyle w:val="Header"/>
                            <w:rPr/>
                          </w:pPr>
                          <w:r>
                            <w:rPr/>
                          </w:r>
                        </w:p>
                      </w:txbxContent>
                    </wps:txbx>
                    <wps:bodyPr anchor="t" lIns="0" tIns="0" rIns="0" bIns="0">
                      <a:noAutofit/>
                    </wps:bodyPr>
                  </wps:wsp>
                </a:graphicData>
              </a:graphic>
            </wp:anchor>
          </w:drawing>
        </mc:Choice>
        <mc:Fallback>
          <w:pict>
            <v:rect style="position:absolute;rotation:-0;width:516.6pt;height:756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p>
                    <w:pPr>
                      <w:pStyle w:val="Header"/>
                      <w:rPr/>
                    </w:pPr>
                    <w:r>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9">
              <wp:simplePos x="0" y="0"/>
              <wp:positionH relativeFrom="column">
                <wp:align>left</wp:align>
              </wp:positionH>
              <wp:positionV relativeFrom="line">
                <wp:posOffset>635</wp:posOffset>
              </wp:positionV>
              <wp:extent cx="6560820" cy="9601200"/>
              <wp:effectExtent l="0" t="0" r="0" b="0"/>
              <wp:wrapNone/>
              <wp:docPr id="3" name="Frame6"/>
              <a:graphic xmlns:a="http://schemas.openxmlformats.org/drawingml/2006/main">
                <a:graphicData uri="http://schemas.microsoft.com/office/word/2010/wordprocessingShape">
                  <wps:wsp>
                    <wps:cNvSpPr txBox="1"/>
                    <wps:spPr>
                      <a:xfrm>
                        <a:off x="0" y="0"/>
                        <a:ext cx="6560820" cy="96012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p>
                          <w:pPr>
                            <w:pStyle w:val="Header"/>
                            <w:rPr/>
                          </w:pPr>
                          <w:r>
                            <w:rPr/>
                          </w:r>
                        </w:p>
                      </w:txbxContent>
                    </wps:txbx>
                    <wps:bodyPr anchor="t" lIns="0" tIns="0" rIns="0" bIns="0">
                      <a:noAutofit/>
                    </wps:bodyPr>
                  </wps:wsp>
                </a:graphicData>
              </a:graphic>
            </wp:anchor>
          </w:drawing>
        </mc:Choice>
        <mc:Fallback>
          <w:pict>
            <v:rect style="position:absolute;rotation:-0;width:516.6pt;height:756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p>
                    <w:pPr>
                      <w:pStyle w:val="Header"/>
                      <w:rPr/>
                    </w:pPr>
                    <w:r>
                      <w:rPr/>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pStyle w:val="Heading6"/>
      <w:numFmt w:val="none"/>
      <w:suff w:val="nothing"/>
      <w:lvlText w:val=""/>
      <w:lvlJc w:val="start"/>
      <w:pPr>
        <w:tabs>
          <w:tab w:val="num" w:pos="0"/>
        </w:tabs>
        <w:ind w:start="32767" w:hanging="0"/>
      </w:pPr>
    </w:lvl>
    <w:lvl w:ilvl="6">
      <w:start w:val="1"/>
      <w:pStyle w:val="Heading7"/>
      <w:numFmt w:val="none"/>
      <w:suff w:val="nothing"/>
      <w:lvlText w:val="%7"/>
      <w:lvlJc w:val="start"/>
      <w:pPr>
        <w:tabs>
          <w:tab w:val="num" w:pos="0"/>
        </w:tabs>
        <w:ind w:start="32767" w:hanging="0"/>
      </w:pPr>
    </w:lvl>
    <w:lvl w:ilvl="7">
      <w:start w:val="1"/>
      <w:pStyle w:val="Heading8"/>
      <w:numFmt w:val="none"/>
      <w:suff w:val="nothing"/>
      <w:lvlText w:val="%8"/>
      <w:lvlJc w:val="start"/>
      <w:pPr>
        <w:tabs>
          <w:tab w:val="num" w:pos="0"/>
        </w:tabs>
        <w:ind w:start="32767" w:hanging="0"/>
      </w:pPr>
    </w:lvl>
    <w:lvl w:ilvl="8">
      <w:start w:val="1"/>
      <w:pStyle w:val="Heading9"/>
      <w:numFmt w:val="none"/>
      <w:suff w:val="nothing"/>
      <w:lvlText w:val="%9"/>
      <w:lvlJc w:val="start"/>
      <w:pPr>
        <w:tabs>
          <w:tab w:val="num" w:pos="0"/>
        </w:tabs>
        <w:ind w:start="32767"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Courier New" w:hAnsi="Courier New" w:eastAsia="Times New Roman" w:cs="Courier New"/>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240" w:after="0"/>
      <w:ind w:hanging="0" w:start="0" w:end="720"/>
      <w:outlineLvl w:val="0"/>
    </w:pPr>
    <w:rPr>
      <w:rFonts w:ascii="Courier New" w:hAnsi="Courier New" w:cs="Courier New"/>
      <w:b/>
      <w:caps/>
    </w:rPr>
  </w:style>
  <w:style w:type="paragraph" w:styleId="Heading2">
    <w:name w:val="heading 2"/>
    <w:basedOn w:val="Heading1"/>
    <w:next w:val="BodyText"/>
    <w:qFormat/>
    <w:pPr>
      <w:numPr>
        <w:ilvl w:val="1"/>
        <w:numId w:val="1"/>
      </w:numPr>
      <w:outlineLvl w:val="1"/>
    </w:pPr>
    <w:rPr>
      <w:caps w:val="false"/>
      <w:smallCaps w:val="false"/>
    </w:rPr>
  </w:style>
  <w:style w:type="paragraph" w:styleId="Heading3">
    <w:name w:val="heading 3"/>
    <w:basedOn w:val="Heading2"/>
    <w:next w:val="BodyText"/>
    <w:qFormat/>
    <w:pPr>
      <w:numPr>
        <w:ilvl w:val="2"/>
        <w:numId w:val="1"/>
      </w:numPr>
      <w:outlineLvl w:val="2"/>
    </w:pPr>
    <w:rPr/>
  </w:style>
  <w:style w:type="paragraph" w:styleId="Heading4">
    <w:name w:val="heading 4"/>
    <w:basedOn w:val="Heading3"/>
    <w:next w:val="BodyText"/>
    <w:qFormat/>
    <w:pPr>
      <w:numPr>
        <w:ilvl w:val="3"/>
        <w:numId w:val="1"/>
      </w:numPr>
      <w:tabs>
        <w:tab w:val="clear" w:pos="720"/>
        <w:tab w:val="left" w:pos="0" w:leader="none"/>
      </w:tabs>
      <w:ind w:hanging="360" w:start="3600" w:end="720"/>
      <w:outlineLvl w:val="3"/>
    </w:pPr>
    <w:rPr/>
  </w:style>
  <w:style w:type="paragraph" w:styleId="Heading5">
    <w:name w:val="heading 5"/>
    <w:basedOn w:val="Heading4"/>
    <w:next w:val="BodyText"/>
    <w:qFormat/>
    <w:pPr>
      <w:numPr>
        <w:ilvl w:val="4"/>
        <w:numId w:val="1"/>
      </w:numPr>
      <w:ind w:hanging="360" w:start="4320" w:end="720"/>
      <w:outlineLvl w:val="4"/>
    </w:pPr>
    <w:rPr/>
  </w:style>
  <w:style w:type="paragraph" w:styleId="Heading6">
    <w:name w:val="heading 6"/>
    <w:basedOn w:val="Heading5"/>
    <w:next w:val="BodyText"/>
    <w:qFormat/>
    <w:pPr>
      <w:numPr>
        <w:ilvl w:val="5"/>
        <w:numId w:val="1"/>
      </w:numPr>
      <w:ind w:hanging="360" w:start="3240" w:end="720"/>
      <w:outlineLvl w:val="5"/>
    </w:pPr>
    <w:rPr/>
  </w:style>
  <w:style w:type="paragraph" w:styleId="Heading7">
    <w:name w:val="heading 7"/>
    <w:basedOn w:val="Heading6"/>
    <w:next w:val="BodyText"/>
    <w:qFormat/>
    <w:pPr>
      <w:numPr>
        <w:ilvl w:val="6"/>
        <w:numId w:val="1"/>
      </w:numPr>
      <w:ind w:hanging="360" w:start="3600" w:end="720"/>
      <w:outlineLvl w:val="6"/>
    </w:pPr>
    <w:rPr/>
  </w:style>
  <w:style w:type="paragraph" w:styleId="Heading8">
    <w:name w:val="heading 8"/>
    <w:basedOn w:val="Heading7"/>
    <w:next w:val="BodyText"/>
    <w:qFormat/>
    <w:pPr>
      <w:numPr>
        <w:ilvl w:val="7"/>
        <w:numId w:val="1"/>
      </w:numPr>
      <w:ind w:hanging="360" w:start="3960" w:end="720"/>
      <w:outlineLvl w:val="7"/>
    </w:pPr>
    <w:rPr/>
  </w:style>
  <w:style w:type="paragraph" w:styleId="Heading9">
    <w:name w:val="heading 9"/>
    <w:basedOn w:val="Heading8"/>
    <w:next w:val="BodyText"/>
    <w:qFormat/>
    <w:pPr>
      <w:numPr>
        <w:ilvl w:val="8"/>
        <w:numId w:val="1"/>
      </w:numPr>
      <w:ind w:hanging="360" w:start="432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36z0">
    <w:name w:val="WW8Num36z0"/>
    <w:qFormat/>
    <w:rPr>
      <w:b/>
      <w:i w:val="false"/>
    </w:rPr>
  </w:style>
  <w:style w:type="character" w:styleId="WW8Num36z1">
    <w:name w:val="WW8Num36z1"/>
    <w:qFormat/>
    <w:rPr>
      <w:b/>
      <w:i w:val="false"/>
      <w:u w:val="none"/>
    </w:rPr>
  </w:style>
  <w:style w:type="character" w:styleId="WW8Num36z3">
    <w:name w:val="WW8Num36z3"/>
    <w:qFormat/>
    <w:rPr>
      <w:rFonts w:ascii="Arial" w:hAnsi="Arial" w:cs="Arial"/>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mphasis">
    <w:name w:val="Emphasis"/>
    <w:qFormat/>
    <w:rPr>
      <w:rFonts w:ascii="Arial Black" w:hAnsi="Arial Black" w:cs="Arial Black"/>
      <w:sz w:val="18"/>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480" w:after="0"/>
      <w:jc w:val="center"/>
    </w:pPr>
    <w:rPr>
      <w:b/>
      <w:caps/>
      <w:kern w:val="2"/>
    </w:rPr>
  </w:style>
  <w:style w:type="paragraph" w:styleId="BodyText">
    <w:name w:val="Body Text"/>
    <w:basedOn w:val="Normal"/>
    <w:pPr>
      <w:spacing w:lineRule="exact" w:line="480"/>
      <w:ind w:firstLine="720" w:start="0" w:end="0"/>
    </w:pPr>
    <w:rPr>
      <w:rFonts w:ascii="Courier New" w:hAnsi="Courier New" w:cs="Courier New"/>
      <w:kern w:val="2"/>
    </w:rPr>
  </w:style>
  <w:style w:type="paragraph" w:styleId="List">
    <w:name w:val="List"/>
    <w:basedOn w:val="BodyText"/>
    <w:pPr/>
    <w:rPr>
      <w:rFonts w:cs="NotoSans NF"/>
    </w:rPr>
  </w:style>
  <w:style w:type="paragraph" w:styleId="Caption">
    <w:name w:val="caption"/>
    <w:basedOn w:val="Normal"/>
    <w:next w:val="Normal"/>
    <w:qFormat/>
    <w:pPr>
      <w:spacing w:before="120" w:after="120"/>
    </w:pPr>
    <w:rPr>
      <w:rFonts w:ascii="Courier New" w:hAnsi="Courier New" w:cs="Courier New"/>
      <w:b/>
    </w:rPr>
  </w:style>
  <w:style w:type="paragraph" w:styleId="Index">
    <w:name w:val="Index"/>
    <w:basedOn w:val="Normal"/>
    <w:qFormat/>
    <w:pPr>
      <w:suppressLineNumbers/>
    </w:pPr>
    <w:rPr>
      <w:rFonts w:cs="NotoSans NF"/>
    </w:rPr>
  </w:style>
  <w:style w:type="paragraph" w:styleId="PleadingCaption">
    <w:name w:val="Pleading Caption"/>
    <w:basedOn w:val="Normal"/>
    <w:qFormat/>
    <w:pPr>
      <w:tabs>
        <w:tab w:val="clear" w:pos="720"/>
        <w:tab w:val="left" w:pos="1066" w:leader="none"/>
        <w:tab w:val="left" w:pos="2707" w:leader="none"/>
        <w:tab w:val="right" w:pos="9360" w:leader="none"/>
      </w:tabs>
    </w:pPr>
    <w:rPr>
      <w:kern w:val="2"/>
    </w:rPr>
  </w:style>
  <w:style w:type="paragraph" w:styleId="Quote">
    <w:name w:val="Quote"/>
    <w:basedOn w:val="Normal"/>
    <w:next w:val="AfterQuote"/>
    <w:qFormat/>
    <w:pPr>
      <w:spacing w:lineRule="exact" w:line="480"/>
      <w:ind w:hanging="0" w:start="720" w:end="720"/>
    </w:pPr>
    <w:rPr>
      <w:kern w:val="2"/>
    </w:rPr>
  </w:style>
  <w:style w:type="paragraph" w:styleId="AfterQuote">
    <w:name w:val="After Quote"/>
    <w:basedOn w:val="BodyText"/>
    <w:next w:val="BodyText"/>
    <w:qFormat/>
    <w:pPr>
      <w:ind w:hanging="0" w:start="0" w:end="0"/>
    </w:pPr>
    <w:rPr>
      <w:rFonts w:ascii="Courier New" w:hAnsi="Courier New" w:cs="Courier New"/>
    </w:rPr>
  </w:style>
  <w:style w:type="paragraph" w:styleId="TOAHeading">
    <w:name w:val="TOA Heading"/>
    <w:basedOn w:val="Normal"/>
    <w:next w:val="Normal"/>
    <w:qFormat/>
    <w:pPr>
      <w:spacing w:before="120" w:after="0"/>
    </w:pPr>
    <w:rPr>
      <w:b/>
    </w:rPr>
  </w:style>
  <w:style w:type="paragraph" w:styleId="FootnoteText">
    <w:name w:val="footnote text"/>
    <w:basedOn w:val="Normal"/>
    <w:pPr>
      <w:spacing w:before="240" w:after="0"/>
      <w:ind w:firstLine="720" w:start="0" w:end="0"/>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ourier New" w:hAnsi="Courier New" w:cs="Courier New"/>
    </w:rPr>
  </w:style>
  <w:style w:type="paragraph" w:styleId="Footer">
    <w:name w:val="footer"/>
    <w:basedOn w:val="Normal"/>
    <w:pPr>
      <w:tabs>
        <w:tab w:val="clear" w:pos="720"/>
        <w:tab w:val="center" w:pos="4320" w:leader="none"/>
        <w:tab w:val="center" w:pos="7920" w:leader="none"/>
        <w:tab w:val="right" w:pos="8640" w:leader="none"/>
      </w:tabs>
    </w:pPr>
    <w:rPr>
      <w:rFonts w:ascii="Courier New" w:hAnsi="Courier New" w:cs="Courier New"/>
    </w:rPr>
  </w:style>
  <w:style w:type="paragraph" w:styleId="SignatureBlock">
    <w:name w:val="Signature Block"/>
    <w:basedOn w:val="Normal"/>
    <w:qFormat/>
    <w:pPr>
      <w:keepNext w:val="true"/>
      <w:tabs>
        <w:tab w:val="clear" w:pos="720"/>
        <w:tab w:val="right" w:pos="8640" w:leader="none"/>
        <w:tab w:val="right" w:pos="9180" w:leader="none"/>
      </w:tabs>
      <w:ind w:hanging="0" w:start="4320" w:end="0"/>
    </w:pPr>
    <w:rPr/>
  </w:style>
  <w:style w:type="paragraph" w:styleId="HeaderNumbers">
    <w:name w:val="HeaderNumbers"/>
    <w:basedOn w:val="Normal"/>
    <w:qFormat/>
    <w:pPr>
      <w:spacing w:lineRule="exact" w:line="480" w:before="600" w:after="0"/>
      <w:ind w:hanging="0" w:start="0" w:end="144"/>
      <w:jc w:val="end"/>
    </w:pPr>
    <w:rPr>
      <w:rFonts w:ascii="Courier New" w:hAnsi="Courier New" w:cs="Courier New"/>
    </w:rPr>
  </w:style>
  <w:style w:type="paragraph" w:styleId="TOC1">
    <w:name w:val="toc 1"/>
    <w:basedOn w:val="Normal"/>
    <w:next w:val="Normal"/>
    <w:pPr>
      <w:tabs>
        <w:tab w:val="left" w:pos="720" w:leader="none"/>
        <w:tab w:val="right" w:pos="9360" w:leader="none"/>
      </w:tabs>
      <w:spacing w:before="240" w:after="0"/>
      <w:ind w:hanging="720" w:start="720" w:end="792"/>
    </w:pPr>
    <w:rPr>
      <w:lang w:val="en-CA"/>
    </w:rPr>
  </w:style>
  <w:style w:type="paragraph" w:styleId="TOC2">
    <w:name w:val="toc 2"/>
    <w:basedOn w:val="TOC1"/>
    <w:next w:val="Normal"/>
    <w:pPr>
      <w:tabs>
        <w:tab w:val="left" w:pos="720" w:leader="none"/>
        <w:tab w:val="left" w:pos="1440" w:leader="none"/>
        <w:tab w:val="right" w:pos="9360" w:leader="none"/>
      </w:tabs>
      <w:ind w:hanging="720" w:start="1440" w:end="792"/>
    </w:pPr>
    <w:rPr>
      <w:lang w:val="en-CA"/>
    </w:rPr>
  </w:style>
  <w:style w:type="paragraph" w:styleId="Court">
    <w:name w:val="Court"/>
    <w:basedOn w:val="Normal"/>
    <w:qFormat/>
    <w:pPr>
      <w:spacing w:before="240" w:after="0"/>
      <w:jc w:val="center"/>
    </w:pPr>
    <w:rPr>
      <w:rFonts w:ascii="Courier New" w:hAnsi="Courier New" w:cs="Courier New"/>
    </w:rPr>
  </w:style>
  <w:style w:type="paragraph" w:styleId="Client">
    <w:name w:val="Client"/>
    <w:basedOn w:val="Normal"/>
    <w:qFormat/>
    <w:pPr>
      <w:ind w:hanging="0" w:start="0" w:end="4406"/>
    </w:pPr>
    <w:rPr>
      <w:rFonts w:ascii="Courier New" w:hAnsi="Courier New" w:cs="Courier New"/>
    </w:rPr>
  </w:style>
  <w:style w:type="paragraph" w:styleId="Date">
    <w:name w:val="Date"/>
    <w:basedOn w:val="Normal"/>
    <w:qFormat/>
    <w:pPr>
      <w:keepNext w:val="true"/>
      <w:tabs>
        <w:tab w:val="clear" w:pos="720"/>
        <w:tab w:val="left" w:pos="1627" w:leader="none"/>
      </w:tabs>
      <w:spacing w:before="240" w:after="240"/>
      <w:ind w:hanging="0" w:start="720" w:end="0"/>
    </w:pPr>
    <w:rPr>
      <w:rFonts w:ascii="Courier New" w:hAnsi="Courier New" w:cs="Courier New"/>
    </w:rPr>
  </w:style>
  <w:style w:type="paragraph" w:styleId="ClientIndented">
    <w:name w:val="Client Indented"/>
    <w:basedOn w:val="Normal"/>
    <w:qFormat/>
    <w:pPr>
      <w:keepNext w:val="true"/>
      <w:ind w:hanging="0" w:start="5040" w:end="0"/>
    </w:pPr>
    <w:rPr>
      <w:rFonts w:ascii="Courier New" w:hAnsi="Courier New" w:cs="Courier New"/>
    </w:rPr>
  </w:style>
  <w:style w:type="paragraph" w:styleId="TOC3">
    <w:name w:val="toc 3"/>
    <w:basedOn w:val="TOC2"/>
    <w:next w:val="Normal"/>
    <w:pPr>
      <w:ind w:hanging="720" w:start="1008" w:end="792"/>
    </w:pPr>
    <w:rPr/>
  </w:style>
  <w:style w:type="paragraph" w:styleId="TOC4">
    <w:name w:val="toc 4"/>
    <w:basedOn w:val="TOC3"/>
    <w:next w:val="Normal"/>
    <w:pPr>
      <w:ind w:hanging="720" w:start="1368" w:end="792"/>
    </w:pPr>
    <w:rPr/>
  </w:style>
  <w:style w:type="paragraph" w:styleId="TOC5">
    <w:name w:val="toc 5"/>
    <w:basedOn w:val="TOC4"/>
    <w:next w:val="Normal"/>
    <w:pPr>
      <w:ind w:hanging="720" w:start="1728" w:end="792"/>
    </w:pPr>
    <w:rPr/>
  </w:style>
  <w:style w:type="paragraph" w:styleId="TOC6">
    <w:name w:val="toc 6"/>
    <w:basedOn w:val="TOC5"/>
    <w:next w:val="Normal"/>
    <w:pPr>
      <w:ind w:hanging="720" w:start="2088" w:end="792"/>
    </w:pPr>
    <w:rPr/>
  </w:style>
  <w:style w:type="paragraph" w:styleId="TOC7">
    <w:name w:val="toc 7"/>
    <w:basedOn w:val="TOC6"/>
    <w:next w:val="Normal"/>
    <w:pPr>
      <w:ind w:hanging="720" w:start="2448" w:end="792"/>
    </w:pPr>
    <w:rPr/>
  </w:style>
  <w:style w:type="paragraph" w:styleId="TOC8">
    <w:name w:val="toc 8"/>
    <w:basedOn w:val="TOC7"/>
    <w:next w:val="Normal"/>
    <w:pPr>
      <w:ind w:hanging="720" w:start="2808" w:end="792"/>
    </w:pPr>
    <w:rPr/>
  </w:style>
  <w:style w:type="paragraph" w:styleId="TOC9">
    <w:name w:val="toc 9"/>
    <w:basedOn w:val="TOC8"/>
    <w:next w:val="Normal"/>
    <w:pPr>
      <w:ind w:hanging="720" w:start="3168" w:end="792"/>
    </w:pPr>
    <w:rPr/>
  </w:style>
  <w:style w:type="paragraph" w:styleId="TableofAuthorities">
    <w:name w:val="Table of Authorities"/>
    <w:basedOn w:val="Normal"/>
    <w:next w:val="Normal"/>
    <w:qFormat/>
    <w:pPr>
      <w:tabs>
        <w:tab w:val="clear" w:pos="720"/>
        <w:tab w:val="right" w:pos="9360" w:leader="dot"/>
      </w:tabs>
      <w:ind w:hanging="240" w:start="240" w:end="0"/>
    </w:pPr>
    <w:rPr/>
  </w:style>
  <w:style w:type="paragraph" w:styleId="BodyText1">
    <w:name w:val="Body Text #"/>
    <w:basedOn w:val="BodyText"/>
    <w:qFormat/>
    <w:pPr>
      <w:numPr>
        <w:ilvl w:val="0"/>
        <w:numId w:val="2"/>
      </w:numPr>
    </w:pPr>
    <w:rPr/>
  </w:style>
  <w:style w:type="paragraph" w:styleId="CenterTitle">
    <w:name w:val="Center Title"/>
    <w:basedOn w:val="Normal"/>
    <w:next w:val="BodyText"/>
    <w:qFormat/>
    <w:pPr>
      <w:keepNext w:val="true"/>
      <w:spacing w:lineRule="exact" w:line="480"/>
      <w:jc w:val="center"/>
    </w:pPr>
    <w:rPr>
      <w:b/>
      <w:caps/>
    </w:rPr>
  </w:style>
  <w:style w:type="paragraph" w:styleId="BodyTexta">
    <w:name w:val="Body Text (a)"/>
    <w:basedOn w:val="BodyText"/>
    <w:qFormat/>
    <w:pPr>
      <w:numPr>
        <w:ilvl w:val="0"/>
        <w:numId w:val="3"/>
      </w:numPr>
      <w:tabs>
        <w:tab w:val="clear" w:pos="720"/>
        <w:tab w:val="left" w:pos="1800" w:leader="none"/>
      </w:tabs>
      <w:ind w:firstLine="1170" w:start="0" w:end="0"/>
    </w:pPr>
    <w:rPr/>
  </w:style>
  <w:style w:type="paragraph" w:styleId="BodyTextNo">
    <w:name w:val="Body Text No#"/>
    <w:basedOn w:val="BodyText1"/>
    <w:next w:val="BodyText1"/>
    <w:qFormat/>
    <w:pPr/>
    <w:rPr/>
  </w:style>
  <w:style w:type="paragraph" w:styleId="CenterTitle1">
    <w:name w:val="CenterTitle"/>
    <w:basedOn w:val="BodyText"/>
    <w:next w:val="BodyText"/>
    <w:qFormat/>
    <w:pPr>
      <w:keepNext w:val="true"/>
      <w:ind w:hanging="0" w:start="0" w:end="0"/>
      <w:jc w:val="center"/>
    </w:pPr>
    <w:rPr>
      <w:b/>
    </w:rPr>
  </w:style>
  <w:style w:type="paragraph" w:styleId="Level2">
    <w:name w:val="Level 2"/>
    <w:basedOn w:val="Normal"/>
    <w:qFormat/>
    <w:pPr/>
    <w:rPr/>
  </w:style>
  <w:style w:type="paragraph" w:styleId="Level3">
    <w:name w:val="Level 3"/>
    <w:basedOn w:val="Normal"/>
    <w:qFormat/>
    <w:pPr/>
    <w:rPr/>
  </w:style>
  <w:style w:type="paragraph" w:styleId="Level4">
    <w:name w:val="Level 4"/>
    <w:basedOn w:val="Normal"/>
    <w:qFormat/>
    <w:pPr/>
    <w:rPr/>
  </w:style>
  <w:style w:type="paragraph" w:styleId="Level5">
    <w:name w:val="Level 5"/>
    <w:basedOn w:val="Normal"/>
    <w:qFormat/>
    <w:pPr/>
    <w:rPr/>
  </w:style>
  <w:style w:type="paragraph" w:styleId="ClientIndentedNoBy">
    <w:name w:val="Client Indented NoBy"/>
    <w:basedOn w:val="ClientIndented"/>
    <w:qFormat/>
    <w:pPr>
      <w:ind w:hanging="0" w:start="4680" w:end="0"/>
    </w:pPr>
    <w:rPr/>
  </w:style>
  <w:style w:type="paragraph" w:styleId="Closing">
    <w:name w:val="Closing"/>
    <w:basedOn w:val="Normal"/>
    <w:qFormat/>
    <w:pPr>
      <w:ind w:hanging="0" w:start="4320" w:end="0"/>
    </w:pPr>
    <w:rPr>
      <w:rFonts w:ascii="Courier New" w:hAnsi="Courier New" w:cs="Courier New"/>
    </w:rPr>
  </w:style>
  <w:style w:type="paragraph" w:styleId="Index1">
    <w:name w:val="index 1"/>
    <w:basedOn w:val="Normal"/>
    <w:next w:val="Normal"/>
    <w:pPr>
      <w:tabs>
        <w:tab w:val="clear" w:pos="720"/>
        <w:tab w:val="right" w:pos="9792" w:leader="dot"/>
      </w:tabs>
      <w:ind w:hanging="240" w:start="240" w:end="0"/>
    </w:pPr>
    <w:rPr>
      <w:rFonts w:ascii="Courier New" w:hAnsi="Courier New" w:cs="Courier New"/>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Arial" w:hAnsi="Arial" w:eastAsia="Times New Roman" w:cs="Arial"/>
      <w:color w:val="auto"/>
      <w:sz w:val="20"/>
      <w:szCs w:val="20"/>
      <w:lang w:val="en-US" w:eastAsia="zh-CN" w:bidi="hi-IN"/>
    </w:rPr>
  </w:style>
  <w:style w:type="paragraph" w:styleId="BlockQuotation">
    <w:name w:val="Block Quotation"/>
    <w:basedOn w:val="Normal"/>
    <w:next w:val="BodyText"/>
    <w:qFormat/>
    <w:pPr>
      <w:shd w:fill="auto" w:val="clear"/>
      <w:spacing w:lineRule="auto" w:line="240" w:before="0" w:after="240"/>
      <w:ind w:hanging="0" w:start="600" w:end="600"/>
      <w:jc w:val="both"/>
    </w:pPr>
    <w:rPr>
      <w:rFonts w:ascii="Garamond" w:hAnsi="Garamond" w:cs="Garamond"/>
      <w:spacing w:val="-5"/>
    </w:rPr>
  </w:style>
  <w:style w:type="paragraph" w:styleId="Icon1">
    <w:name w:val="Icon 1"/>
    <w:basedOn w:val="Normal"/>
    <w:qFormat/>
    <w:pPr>
      <w:shd w:fill="000000" w:val="clear"/>
      <w:spacing w:lineRule="auto" w:line="240"/>
      <w:jc w:val="center"/>
    </w:pPr>
    <w:rPr>
      <w:rFonts w:ascii="Wingdings" w:hAnsi="Wingdings" w:cs="Wingdings"/>
      <w:b/>
      <w:color w:val="FFFFFF"/>
      <w:sz w:val="96"/>
    </w:rPr>
  </w:style>
  <w:style w:type="paragraph" w:styleId="-PAGE-">
    <w:name w:val="- PAGE -"/>
    <w:qFormat/>
    <w:pPr>
      <w:widowControl/>
      <w:bidi w:val="0"/>
    </w:pPr>
    <w:rPr>
      <w:rFonts w:ascii="Times New Roman" w:hAnsi="Times New Roman" w:eastAsia="Times New Roman" w:cs="Times New Roman"/>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2001-02-08T05:11:00Z</dcterms:created>
  <dc:creator>JHE1</dc:creator>
  <dc:description/>
  <dc:language>en-CA</dc:language>
  <cp:lastModifiedBy>dep</cp:lastModifiedBy>
  <cp:lastPrinted>2001-02-08T13:00:00Z</cp:lastPrinted>
  <dcterms:modified xsi:type="dcterms:W3CDTF">2001-02-08T19:45:00Z</dcterms:modified>
  <cp:revision>57</cp:revision>
  <dc:subject/>
  <dc:title>Morrison &amp; Foerster Pleading Template version 3.0</dc:title>
</cp:coreProperties>
</file>