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24"/>
        </w:rPr>
      </w:pPr>
      <w:r>
        <w:rPr>
          <w:i/>
          <w:sz w:val="24"/>
        </w:rPr>
      </w:r>
    </w:p>
    <w:p>
      <w:pPr>
        <w:pStyle w:val="Heading2"/>
        <w:ind w:hanging="0" w:start="0"/>
        <w:rPr>
          <w:sz w:val="24"/>
        </w:rPr>
      </w:pPr>
      <w:r>
        <w:rPr>
          <w:sz w:val="24"/>
        </w:rPr>
        <w:t>Pipeline Rights-of-Way on Federal and Tribal Lands</w:t>
      </w:r>
    </w:p>
    <w:p>
      <w:pPr>
        <w:pStyle w:val="Normal"/>
        <w:rPr>
          <w:sz w:val="24"/>
        </w:rPr>
      </w:pPr>
      <w:r>
        <w:rPr>
          <w:sz w:val="24"/>
        </w:rPr>
      </w:r>
    </w:p>
    <w:p>
      <w:pPr>
        <w:pStyle w:val="Normal"/>
        <w:rPr>
          <w:sz w:val="24"/>
        </w:rPr>
      </w:pPr>
      <w:r>
        <w:rPr>
          <w:sz w:val="24"/>
        </w:rPr>
      </w:r>
    </w:p>
    <w:p>
      <w:pPr>
        <w:pStyle w:val="Normal"/>
        <w:rPr>
          <w:sz w:val="24"/>
        </w:rPr>
      </w:pPr>
      <w:r>
        <w:rPr>
          <w:sz w:val="24"/>
        </w:rPr>
        <w:t>While pipelines work to expand infrastructure to meet the needs of a 30 Tcf natural gas market, they face significant challenges with the acquisition and renewal of rights-of-way on Federal and Tribal lands.</w:t>
      </w:r>
    </w:p>
    <w:p>
      <w:pPr>
        <w:pStyle w:val="Normal"/>
        <w:rPr>
          <w:sz w:val="24"/>
        </w:rPr>
      </w:pPr>
      <w:r>
        <w:rPr>
          <w:sz w:val="24"/>
        </w:rPr>
      </w:r>
    </w:p>
    <w:p>
      <w:pPr>
        <w:pStyle w:val="Heading1"/>
        <w:ind w:hanging="0" w:start="0"/>
        <w:rPr>
          <w:sz w:val="24"/>
        </w:rPr>
      </w:pPr>
      <w:r>
        <w:rPr>
          <w:sz w:val="24"/>
        </w:rPr>
        <w:t>Tribal Consent</w:t>
      </w:r>
    </w:p>
    <w:p>
      <w:pPr>
        <w:pStyle w:val="Normal"/>
        <w:rPr>
          <w:sz w:val="24"/>
        </w:rPr>
      </w:pPr>
      <w:r>
        <w:rPr>
          <w:sz w:val="24"/>
        </w:rPr>
      </w:r>
    </w:p>
    <w:p>
      <w:pPr>
        <w:pStyle w:val="Normal"/>
        <w:rPr>
          <w:sz w:val="24"/>
        </w:rPr>
      </w:pPr>
      <w:r>
        <w:rPr>
          <w:sz w:val="24"/>
        </w:rPr>
        <w:t xml:space="preserve">Section 7(h) of the Natural Gas Act (NGA) gives a certificate holder the ability to use eminent domain to acquire needed right-of-way access in the event the pipeline is unable to negotiate access with the landowner.  This right is not qualified.  However, FERC staff has been unwilling to render an opinion on the applicability of NGA eminent domain authority to tribal lands due to the lack of case law directly on point. </w:t>
      </w:r>
    </w:p>
    <w:p>
      <w:pPr>
        <w:pStyle w:val="Normal"/>
        <w:rPr>
          <w:sz w:val="24"/>
        </w:rPr>
      </w:pPr>
      <w:r>
        <w:rPr>
          <w:sz w:val="24"/>
        </w:rPr>
      </w:r>
    </w:p>
    <w:p>
      <w:pPr>
        <w:pStyle w:val="Normal"/>
        <w:rPr>
          <w:sz w:val="24"/>
        </w:rPr>
      </w:pPr>
      <w:r>
        <w:rPr>
          <w:sz w:val="24"/>
        </w:rPr>
        <w:t>At the same time, the Department of Interior will not grant ROW on Tribal Trust lands without tribal consent.  The DOI relies on 25 CFR § 324 for the proposition that pipelines must secure Tribal consent regardless of the unreasonableness of the conditions required by the Tribe for such consent.  Tribal conditions may be in conflict with other FERC or DOT regulations, may involve ceding an ownership or operational role to the Tribe, and/or may involve payments based on the build-around cost valuations instead of the fair market value of the ROW.  Currently the DOI and the Bureau of Indian Affairs see themselves solely as an advocate for the Tribes.</w:t>
      </w:r>
    </w:p>
    <w:p>
      <w:pPr>
        <w:pStyle w:val="Normal"/>
        <w:rPr>
          <w:sz w:val="24"/>
        </w:rPr>
      </w:pPr>
      <w:r>
        <w:rPr>
          <w:sz w:val="24"/>
        </w:rPr>
      </w:r>
    </w:p>
    <w:p>
      <w:pPr>
        <w:pStyle w:val="Normal"/>
        <w:rPr>
          <w:sz w:val="24"/>
        </w:rPr>
      </w:pPr>
      <w:r>
        <w:rPr>
          <w:sz w:val="24"/>
        </w:rPr>
        <w:t xml:space="preserve">The effect of the DOI policy is that even when a pipeline has a certificate in hand, Tribal consent can significantly delay or even block operations or expansions.  Tribes are under no prescribed timetable for this consent process.  The impact of this issue on interstate infrastructure is significant in the current energy debate because of the impact on maintaining and adding infrastructure to growing California markets and building new pipelines to carry gas from the Rocky Mountain Basin.  </w:t>
      </w:r>
    </w:p>
    <w:p>
      <w:pPr>
        <w:pStyle w:val="Normal"/>
        <w:rPr>
          <w:sz w:val="24"/>
        </w:rPr>
      </w:pPr>
      <w:r>
        <w:rPr>
          <w:sz w:val="24"/>
        </w:rPr>
      </w:r>
    </w:p>
    <w:p>
      <w:pPr>
        <w:pStyle w:val="BodyText"/>
        <w:rPr/>
      </w:pPr>
      <w:r>
        <w:rPr/>
        <w:t xml:space="preserve">For example, Transwestern has over 400 miles of pipeline and 3 compressor stations on Tribal lands.  El Paso has more than 1100 miles and a number of compressor stations. Any significant expansions by either of these companies will require the acquisition of additional Tribal ROW.  This issue also touches new Rocky Mountain supplies which are the incremental new supply source needed to serve demand growth in the West. </w:t>
      </w:r>
    </w:p>
    <w:p>
      <w:pPr>
        <w:pStyle w:val="Normal"/>
        <w:rPr>
          <w:sz w:val="24"/>
        </w:rPr>
      </w:pPr>
      <w:r>
        <w:rPr>
          <w:sz w:val="24"/>
        </w:rPr>
      </w:r>
    </w:p>
    <w:p>
      <w:pPr>
        <w:pStyle w:val="BodyText"/>
        <w:tabs>
          <w:tab w:val="clear" w:pos="720"/>
          <w:tab w:val="left" w:pos="2610" w:leader="none"/>
        </w:tabs>
        <w:rPr/>
      </w:pPr>
      <w:r>
        <w:rPr/>
        <w:t>INGAA should work to correct this conflicting understanding of current Federal statutes, regulations and policy.  In particular, DOI regulations should not be written or interpreted in a manner that frustrates the Natural Gas Act.  This can be accomplished in two ways.  First, Congress can add an explicit exception to 25 CFR § 324 to provide that where a federal agency confers eminent domain authority on an entity by statute, a separate tribal consent is not required for the ROW Second, the Administration should clarify that a FERC certificate holder’s right to exercise eminent domain authority extends to federal and Tribal lands.</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sz w:val="24"/>
          <w:u w:val="single"/>
        </w:rPr>
      </w:pPr>
      <w:r>
        <w:rPr>
          <w:sz w:val="24"/>
          <w:u w:val="single"/>
        </w:rPr>
      </w:r>
    </w:p>
    <w:p>
      <w:pPr>
        <w:pStyle w:val="Heading3"/>
        <w:ind w:hanging="0" w:start="0"/>
        <w:rPr>
          <w:sz w:val="24"/>
          <w:u w:val="single"/>
        </w:rPr>
      </w:pPr>
      <w:r>
        <w:rPr>
          <w:sz w:val="24"/>
          <w:u w:val="single"/>
        </w:rPr>
        <w:t>ROW Valuation Policies</w:t>
      </w:r>
    </w:p>
    <w:p>
      <w:pPr>
        <w:pStyle w:val="Normal"/>
        <w:rPr>
          <w:sz w:val="24"/>
          <w:u w:val="single"/>
        </w:rPr>
      </w:pPr>
      <w:r>
        <w:rPr>
          <w:sz w:val="24"/>
          <w:u w:val="single"/>
        </w:rPr>
      </w:r>
    </w:p>
    <w:p>
      <w:pPr>
        <w:pStyle w:val="Normal"/>
        <w:rPr>
          <w:sz w:val="24"/>
        </w:rPr>
      </w:pPr>
      <w:r>
        <w:rPr>
          <w:sz w:val="24"/>
        </w:rPr>
        <w:t>Several federal agencies, including BLM and the Forest Service have proposed changes to traditional ROW valuation methods.  Under longstanding policy, ROW is valued based on its impact to the land.   Federal agencies are now proposing to fees based on a percentage of revenues.   While to date the written proposals of these federal agencies have been focused on fiber rights-of-way, the agencies have expressed the view that the methodology would be extended to all types of rights-of-way.    The concern about precedent setting is bolstered by the fact that BLM is heading an interagency task force on ROW valuation.</w:t>
      </w:r>
    </w:p>
    <w:p>
      <w:pPr>
        <w:pStyle w:val="Normal"/>
        <w:rPr>
          <w:sz w:val="24"/>
        </w:rPr>
      </w:pPr>
      <w:r>
        <w:rPr>
          <w:sz w:val="24"/>
        </w:rPr>
      </w:r>
    </w:p>
    <w:p>
      <w:pPr>
        <w:pStyle w:val="Normal"/>
        <w:rPr>
          <w:sz w:val="24"/>
        </w:rPr>
      </w:pPr>
      <w:r>
        <w:rPr>
          <w:sz w:val="24"/>
        </w:rPr>
        <w:t xml:space="preserve">The financial impact of a change in ROW valuation methodology is huge and could be a significant impediment to the new infrastructure and cost burden on existing systems.    </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2001-03-09T20:50:00Z</dcterms:created>
  <dc:creator>scorman</dc:creator>
  <dc:description/>
  <dc:language>en-CA</dc:language>
  <cp:lastModifiedBy>scorman</cp:lastModifiedBy>
  <dcterms:modified xsi:type="dcterms:W3CDTF">2001-03-09T20:50:00Z</dcterms:modified>
  <cp:revision>2</cp:revision>
  <dc:subject/>
  <dc:title>Pipeline Rights-of-Way on Federal and Tribal Lands</dc:title>
</cp:coreProperties>
</file>