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pPr>
      <w:r>
        <w:rPr>
          <w:rFonts w:cs="Courier New" w:ascii="Courier New" w:hAnsi="Courier New"/>
          <w:caps/>
          <w:spacing w:val="0"/>
        </w:rPr>
        <w:t>Diane E. Pritchard (S</w:t>
      </w:r>
      <w:r>
        <w:rPr>
          <w:rFonts w:cs="Courier New" w:ascii="Courier New" w:hAnsi="Courier New"/>
          <w:spacing w:val="0"/>
        </w:rPr>
        <w:t xml:space="preserve">tate </w:t>
      </w:r>
      <w:r>
        <w:rPr>
          <w:rFonts w:cs="Courier New" w:ascii="Courier New" w:hAnsi="Courier New"/>
          <w:caps/>
          <w:spacing w:val="0"/>
        </w:rPr>
        <w:t>B</w:t>
      </w:r>
      <w:r>
        <w:rPr>
          <w:rFonts w:cs="Courier New" w:ascii="Courier New" w:hAnsi="Courier New"/>
          <w:spacing w:val="0"/>
        </w:rPr>
        <w:t>ar</w:t>
      </w:r>
      <w:r>
        <w:rPr>
          <w:rFonts w:cs="Courier New" w:ascii="Courier New" w:hAnsi="Courier New"/>
          <w:caps/>
          <w:spacing w:val="0"/>
        </w:rPr>
        <w:t xml:space="preserve"> N</w:t>
      </w:r>
      <w:r>
        <w:rPr>
          <w:rFonts w:cs="Courier New" w:ascii="Courier New" w:hAnsi="Courier New"/>
          <w:spacing w:val="0"/>
        </w:rPr>
        <w:t>o</w:t>
      </w:r>
      <w:r>
        <w:rPr>
          <w:rFonts w:cs="Courier New" w:ascii="Courier New" w:hAnsi="Courier New"/>
          <w:caps/>
          <w:spacing w:val="0"/>
        </w:rPr>
        <w:t>. 96999)</w:t>
      </w:r>
    </w:p>
    <w:p>
      <w:pPr>
        <w:pStyle w:val="PleadingCaption"/>
        <w:rPr>
          <w:rFonts w:ascii="Courier New" w:hAnsi="Courier New" w:cs="Courier New"/>
          <w:spacing w:val="0"/>
        </w:rPr>
      </w:pPr>
      <w:r>
        <w:rPr>
          <w:rFonts w:cs="Courier New" w:ascii="Courier New" w:hAnsi="Courier New"/>
          <w:caps/>
          <w:spacing w:val="0"/>
        </w:rPr>
        <w:t>Morrison &amp; Foerster</w:t>
      </w:r>
      <w:r>
        <w:rPr>
          <w:rFonts w:cs="Courier New" w:ascii="Courier New" w:hAnsi="Courier New"/>
          <w:smallCaps/>
          <w:spacing w:val="0"/>
          <w:sz w:val="18"/>
        </w:rPr>
        <w:t xml:space="preserve"> llp</w:t>
      </w:r>
    </w:p>
    <w:p>
      <w:pPr>
        <w:pStyle w:val="PleadingCaption"/>
        <w:rPr>
          <w:rFonts w:ascii="Courier New" w:hAnsi="Courier New" w:cs="Courier New"/>
          <w:spacing w:val="0"/>
        </w:rPr>
      </w:pPr>
      <w:r>
        <w:rPr>
          <w:rFonts w:cs="Courier New" w:ascii="Courier New" w:hAnsi="Courier New"/>
          <w:spacing w:val="0"/>
        </w:rPr>
        <w:t>425 Market Street</w:t>
      </w:r>
    </w:p>
    <w:p>
      <w:pPr>
        <w:pStyle w:val="PleadingCaption"/>
        <w:rPr>
          <w:rFonts w:ascii="Courier New" w:hAnsi="Courier New" w:cs="Courier New"/>
          <w:spacing w:val="0"/>
        </w:rPr>
      </w:pPr>
      <w:r>
        <w:rPr>
          <w:rFonts w:cs="Courier New" w:ascii="Courier New" w:hAnsi="Courier New"/>
          <w:spacing w:val="0"/>
        </w:rPr>
        <w:t>San Francisco, California 94105-2482</w:t>
      </w:r>
    </w:p>
    <w:p>
      <w:pPr>
        <w:pStyle w:val="PleadingCaption"/>
        <w:rPr>
          <w:rFonts w:ascii="Courier New" w:hAnsi="Courier New" w:cs="Courier New"/>
          <w:spacing w:val="0"/>
        </w:rPr>
      </w:pPr>
      <w:r>
        <w:rPr>
          <w:rFonts w:cs="Courier New" w:ascii="Courier New" w:hAnsi="Courier New"/>
          <w:spacing w:val="0"/>
        </w:rPr>
        <w:t>Telephone: (415) 268-7000</w:t>
      </w:r>
    </w:p>
    <w:p>
      <w:pPr>
        <w:pStyle w:val="PleadingCaption"/>
        <w:rPr>
          <w:rFonts w:ascii="Courier New" w:hAnsi="Courier New" w:cs="Courier New"/>
          <w:spacing w:val="0"/>
        </w:rPr>
      </w:pPr>
      <w:r>
        <w:rPr>
          <w:rFonts w:cs="Courier New" w:ascii="Courier New" w:hAnsi="Courier New"/>
          <w:spacing w:val="0"/>
        </w:rPr>
        <w:t>Facsimile: (415) 268-7522</w:t>
      </w:r>
    </w:p>
    <w:p>
      <w:pPr>
        <w:pStyle w:val="PleadingCaption"/>
        <w:rPr>
          <w:rFonts w:ascii="Courier New" w:hAnsi="Courier New" w:cs="Courier New"/>
          <w:spacing w:val="0"/>
        </w:rPr>
      </w:pPr>
      <w:r>
        <w:rPr>
          <w:rFonts w:cs="Courier New" w:ascii="Courier New" w:hAnsi="Courier New"/>
          <w:spacing w:val="0"/>
        </w:rPr>
      </w:r>
    </w:p>
    <w:p>
      <w:pPr>
        <w:pStyle w:val="PleadingCaption"/>
        <w:rPr/>
      </w:pPr>
      <w:r>
        <w:rPr>
          <w:rFonts w:cs="Courier New" w:ascii="Courier New" w:hAnsi="Courier New"/>
          <w:caps/>
          <w:spacing w:val="0"/>
        </w:rPr>
        <w:t>GORDON P. ERSPAMER (</w:t>
      </w:r>
      <w:r>
        <w:rPr>
          <w:rFonts w:cs="Courier New" w:ascii="Courier New" w:hAnsi="Courier New"/>
          <w:spacing w:val="0"/>
        </w:rPr>
        <w:t>State Bar No</w:t>
      </w:r>
      <w:r>
        <w:rPr>
          <w:rFonts w:cs="Courier New" w:ascii="Courier New" w:hAnsi="Courier New"/>
          <w:caps/>
          <w:spacing w:val="0"/>
        </w:rPr>
        <w:t>. 83364)</w:t>
      </w:r>
    </w:p>
    <w:p>
      <w:pPr>
        <w:pStyle w:val="PleadingCaption"/>
        <w:rPr>
          <w:rFonts w:ascii="Courier New" w:hAnsi="Courier New" w:cs="Courier New"/>
          <w:caps/>
          <w:spacing w:val="0"/>
        </w:rPr>
      </w:pPr>
      <w:r>
        <w:rPr>
          <w:rFonts w:cs="Courier New" w:ascii="Courier New" w:hAnsi="Courier New"/>
          <w:caps/>
          <w:spacing w:val="0"/>
        </w:rPr>
        <w:t xml:space="preserve">MORRISON &amp; FOERSTER </w:t>
      </w:r>
      <w:r>
        <w:rPr>
          <w:rFonts w:cs="Courier New" w:ascii="Courier New" w:hAnsi="Courier New"/>
          <w:smallCaps/>
          <w:spacing w:val="0"/>
          <w:sz w:val="18"/>
        </w:rPr>
        <w:t>llp</w:t>
      </w:r>
    </w:p>
    <w:p>
      <w:pPr>
        <w:pStyle w:val="PleadingCaption"/>
        <w:rPr/>
      </w:pPr>
      <w:r>
        <w:rPr>
          <w:rFonts w:cs="Courier New" w:ascii="Courier New" w:hAnsi="Courier New"/>
          <w:caps/>
          <w:spacing w:val="0"/>
        </w:rPr>
        <w:t>101</w:t>
      </w:r>
      <w:r>
        <w:rPr>
          <w:rFonts w:cs="Courier New" w:ascii="Courier New" w:hAnsi="Courier New"/>
          <w:spacing w:val="0"/>
        </w:rPr>
        <w:t xml:space="preserve"> Ygnacio Valley Road, Suite 450</w:t>
      </w:r>
    </w:p>
    <w:p>
      <w:pPr>
        <w:pStyle w:val="PleadingCaption"/>
        <w:rPr>
          <w:rFonts w:ascii="Courier New" w:hAnsi="Courier New" w:cs="Courier New"/>
          <w:spacing w:val="0"/>
        </w:rPr>
      </w:pPr>
      <w:r>
        <w:rPr>
          <w:rFonts w:cs="Courier New" w:ascii="Courier New" w:hAnsi="Courier New"/>
          <w:spacing w:val="0"/>
        </w:rPr>
        <w:t>P.O. Box 8130</w:t>
      </w:r>
    </w:p>
    <w:p>
      <w:pPr>
        <w:pStyle w:val="PleadingCaption"/>
        <w:rPr>
          <w:rFonts w:ascii="Courier New" w:hAnsi="Courier New" w:cs="Courier New"/>
          <w:caps/>
          <w:spacing w:val="0"/>
        </w:rPr>
      </w:pPr>
      <w:r>
        <w:rPr>
          <w:rFonts w:cs="Courier New" w:ascii="Courier New" w:hAnsi="Courier New"/>
          <w:spacing w:val="0"/>
        </w:rPr>
        <w:t>Walnut Creek, California  94596-8130</w:t>
      </w:r>
    </w:p>
    <w:p>
      <w:pPr>
        <w:pStyle w:val="PleadingCaption"/>
        <w:rPr/>
      </w:pPr>
      <w:r>
        <w:rPr>
          <w:rFonts w:cs="Courier New" w:ascii="Courier New" w:hAnsi="Courier New"/>
          <w:caps/>
          <w:spacing w:val="0"/>
        </w:rPr>
        <w:t>T</w:t>
      </w:r>
      <w:r>
        <w:rPr>
          <w:rFonts w:cs="Courier New" w:ascii="Courier New" w:hAnsi="Courier New"/>
          <w:spacing w:val="0"/>
        </w:rPr>
        <w:t>elephone</w:t>
      </w:r>
      <w:r>
        <w:rPr>
          <w:rFonts w:cs="Courier New" w:ascii="Courier New" w:hAnsi="Courier New"/>
          <w:caps/>
          <w:spacing w:val="0"/>
        </w:rPr>
        <w:t>: (925) 295-3300</w:t>
      </w:r>
    </w:p>
    <w:p>
      <w:pPr>
        <w:pStyle w:val="PleadingCaption"/>
        <w:rPr/>
      </w:pPr>
      <w:r>
        <w:rPr>
          <w:rFonts w:cs="Courier New" w:ascii="Courier New" w:hAnsi="Courier New"/>
          <w:spacing w:val="0"/>
        </w:rPr>
        <w:t>Facsimile</w:t>
      </w:r>
      <w:r>
        <w:rPr>
          <w:rFonts w:cs="Courier New" w:ascii="Courier New" w:hAnsi="Courier New"/>
          <w:caps/>
          <w:spacing w:val="0"/>
        </w:rPr>
        <w:t>: (925) 946-9912</w:t>
      </w:r>
    </w:p>
    <w:p>
      <w:pPr>
        <w:pStyle w:val="PleadingCaption"/>
        <w:rPr>
          <w:rFonts w:ascii="Courier New" w:hAnsi="Courier New" w:cs="Courier New"/>
          <w:caps/>
          <w:spacing w:val="0"/>
        </w:rPr>
      </w:pPr>
      <w:r>
        <w:rPr>
          <w:rFonts w:cs="Courier New" w:ascii="Courier New" w:hAnsi="Courier New"/>
          <w:caps/>
          <w:spacing w:val="0"/>
        </w:rPr>
      </w:r>
    </w:p>
    <w:p>
      <w:pPr>
        <w:pStyle w:val="PleadingCaption"/>
        <w:rPr>
          <w:rFonts w:ascii="Courier New" w:hAnsi="Courier New" w:cs="Courier New"/>
          <w:spacing w:val="0"/>
        </w:rPr>
      </w:pPr>
      <w:r>
        <w:rPr>
          <w:rFonts w:cs="Courier New" w:ascii="Courier New" w:hAnsi="Courier New"/>
          <w:spacing w:val="0"/>
        </w:rPr>
        <w:t>Attorneys for Plaintiff</w:t>
      </w:r>
    </w:p>
    <w:p>
      <w:pPr>
        <w:pStyle w:val="Client"/>
        <w:rPr>
          <w:rFonts w:ascii="Courier New" w:hAnsi="Courier New" w:cs="Courier New"/>
          <w:spacing w:val="0"/>
        </w:rPr>
      </w:pPr>
      <w:r>
        <w:rPr>
          <w:rFonts w:cs="Courier New" w:ascii="Courier New" w:hAnsi="Courier New"/>
          <w:spacing w:val="0"/>
        </w:rPr>
        <w:t>AVISTA ENERGY, INC.</w:t>
      </w:r>
    </w:p>
    <w:p>
      <w:pPr>
        <w:pStyle w:val="PleadingCaption"/>
        <w:rPr>
          <w:rFonts w:ascii="Courier New" w:hAnsi="Courier New" w:cs="Courier New"/>
          <w:spacing w:val="0"/>
        </w:rPr>
      </w:pPr>
      <w:r>
        <w:rPr>
          <w:rFonts w:cs="Courier New" w:ascii="Courier New" w:hAnsi="Courier New"/>
          <w:spacing w:val="0"/>
        </w:rPr>
      </w:r>
    </w:p>
    <w:p>
      <w:pPr>
        <w:pStyle w:val="PleadingCaption"/>
        <w:rPr>
          <w:rFonts w:ascii="Courier New" w:hAnsi="Courier New" w:cs="Courier New"/>
          <w:spacing w:val="0"/>
        </w:rPr>
      </w:pPr>
      <w:r>
        <w:rPr>
          <w:rFonts w:cs="Courier New" w:ascii="Courier New" w:hAnsi="Courier New"/>
          <w:spacing w:val="0"/>
        </w:rPr>
      </w:r>
    </w:p>
    <w:p>
      <w:pPr>
        <w:pStyle w:val="Court"/>
        <w:rPr>
          <w:rFonts w:ascii="Courier New" w:hAnsi="Courier New" w:cs="Courier New"/>
          <w:spacing w:val="0"/>
        </w:rPr>
      </w:pPr>
      <w:r>
        <w:rPr>
          <w:rFonts w:cs="Courier New" w:ascii="Courier New" w:hAnsi="Courier New"/>
          <w:spacing w:val="0"/>
        </w:rPr>
        <w:t>UNITED STATES DISTRICT COURT</w:t>
        <w:br/>
        <w:br/>
        <w:t>CENTRAL DISTRICT OF CALIFORNIA</w:t>
      </w:r>
    </w:p>
    <w:p>
      <w:pPr>
        <w:pStyle w:val="PleadingCaption"/>
        <w:rPr>
          <w:rFonts w:ascii="Courier New" w:hAnsi="Courier New" w:cs="Courier New"/>
          <w:spacing w:val="0"/>
        </w:rPr>
      </w:pPr>
      <w:r>
        <w:rPr>
          <w:rFonts w:cs="Courier New" w:ascii="Courier New" w:hAnsi="Courier New"/>
          <w:spacing w:val="0"/>
        </w:rPr>
      </w:r>
    </w:p>
    <w:p>
      <w:pPr>
        <w:pStyle w:val="PleadingCaption"/>
        <w:rPr>
          <w:rFonts w:ascii="Courier New" w:hAnsi="Courier New" w:cs="Courier New"/>
          <w:spacing w:val="0"/>
        </w:rPr>
      </w:pPr>
      <w:r>
        <w:rPr>
          <w:rFonts w:cs="Courier New" w:ascii="Courier New" w:hAnsi="Courier New"/>
          <w:spacing w:val="0"/>
        </w:rPr>
      </w:r>
    </w:p>
    <w:p>
      <w:pPr>
        <w:pStyle w:val="PleadingCaption"/>
        <w:rPr>
          <w:rFonts w:ascii="Courier New" w:hAnsi="Courier New" w:cs="Courier New"/>
          <w:spacing w:val="0"/>
        </w:rPr>
      </w:pPr>
      <w:r>
        <w:rPr>
          <w:rFonts w:cs="Courier New" w:ascii="Courier New" w:hAnsi="Courier New"/>
          <w:spacing w:val="0"/>
        </w:rPr>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bottom w:val="single" w:sz="6" w:space="0" w:color="000000"/>
              <w:end w:val="single" w:sz="6" w:space="0" w:color="000000"/>
            </w:tcBorders>
          </w:tcPr>
          <w:p>
            <w:pPr>
              <w:pStyle w:val="PleadingCaption"/>
              <w:tabs>
                <w:tab w:val="clear" w:pos="2707"/>
                <w:tab w:val="left" w:pos="1066" w:leader="none"/>
                <w:tab w:val="left" w:pos="2340" w:leader="none"/>
                <w:tab w:val="right" w:pos="9360" w:leader="none"/>
              </w:tabs>
              <w:rPr>
                <w:rFonts w:ascii="Courier New" w:hAnsi="Courier New" w:cs="Courier New"/>
                <w:spacing w:val="0"/>
              </w:rPr>
            </w:pPr>
            <w:bookmarkStart w:id="0" w:name="Probate"/>
            <w:bookmarkStart w:id="1" w:name="Bankruptcy"/>
            <w:bookmarkStart w:id="2" w:name="party1"/>
            <w:bookmarkEnd w:id="0"/>
            <w:bookmarkEnd w:id="2"/>
            <w:r>
              <w:rPr>
                <w:rFonts w:cs="Courier New" w:ascii="Courier New" w:hAnsi="Courier New"/>
                <w:caps/>
                <w:spacing w:val="0"/>
              </w:rPr>
              <w:t xml:space="preserve">avista energy, Inc., </w:t>
            </w:r>
          </w:p>
          <w:p>
            <w:pPr>
              <w:pStyle w:val="PleadingCaption"/>
              <w:tabs>
                <w:tab w:val="clear" w:pos="2707"/>
                <w:tab w:val="left" w:pos="1066" w:leader="none"/>
                <w:tab w:val="left" w:pos="2340" w:leader="none"/>
                <w:tab w:val="right" w:pos="9360" w:leader="none"/>
              </w:tabs>
              <w:rPr>
                <w:rFonts w:ascii="Courier New" w:hAnsi="Courier New" w:cs="Courier New"/>
                <w:spacing w:val="0"/>
              </w:rPr>
            </w:pPr>
            <w:r>
              <w:rPr>
                <w:rFonts w:cs="Courier New" w:ascii="Courier New" w:hAnsi="Courier New"/>
                <w:spacing w:val="0"/>
              </w:rPr>
            </w:r>
          </w:p>
          <w:p>
            <w:pPr>
              <w:pStyle w:val="PleadingCaption"/>
              <w:tabs>
                <w:tab w:val="clear" w:pos="2707"/>
                <w:tab w:val="left" w:pos="1066" w:leader="none"/>
                <w:tab w:val="left" w:pos="2340" w:leader="none"/>
                <w:tab w:val="left" w:pos="2970" w:leader="none"/>
                <w:tab w:val="right" w:pos="9360" w:leader="none"/>
              </w:tabs>
              <w:rPr>
                <w:rFonts w:ascii="Courier New" w:hAnsi="Courier New" w:cs="Courier New"/>
                <w:spacing w:val="0"/>
              </w:rPr>
            </w:pPr>
            <w:r>
              <w:rPr>
                <w:rFonts w:cs="Courier New" w:ascii="Courier New" w:hAnsi="Courier New"/>
                <w:spacing w:val="0"/>
              </w:rPr>
              <w:tab/>
              <w:tab/>
              <w:t>Plaintiff,</w:t>
            </w:r>
          </w:p>
          <w:p>
            <w:pPr>
              <w:pStyle w:val="PleadingCaption"/>
              <w:tabs>
                <w:tab w:val="clear" w:pos="2707"/>
                <w:tab w:val="left" w:pos="1066" w:leader="none"/>
                <w:tab w:val="left" w:pos="2340" w:leader="none"/>
                <w:tab w:val="right" w:pos="9360" w:leader="none"/>
              </w:tabs>
              <w:rPr>
                <w:rFonts w:ascii="Courier New" w:hAnsi="Courier New" w:cs="Courier New"/>
                <w:spacing w:val="0"/>
              </w:rPr>
            </w:pPr>
            <w:r>
              <w:rPr>
                <w:rFonts w:cs="Courier New" w:ascii="Courier New" w:hAnsi="Courier New"/>
                <w:spacing w:val="0"/>
              </w:rPr>
            </w:r>
          </w:p>
          <w:p>
            <w:pPr>
              <w:pStyle w:val="PleadingCaption"/>
              <w:tabs>
                <w:tab w:val="clear" w:pos="2707"/>
                <w:tab w:val="left" w:pos="450" w:leader="none"/>
                <w:tab w:val="left" w:pos="1066" w:leader="none"/>
                <w:tab w:val="left" w:pos="2340" w:leader="none"/>
                <w:tab w:val="right" w:pos="9360" w:leader="none"/>
              </w:tabs>
              <w:rPr>
                <w:rFonts w:ascii="Courier New" w:hAnsi="Courier New" w:cs="Courier New"/>
                <w:spacing w:val="0"/>
              </w:rPr>
            </w:pPr>
            <w:bookmarkStart w:id="3" w:name="Bankruptcy"/>
            <w:r>
              <w:rPr>
                <w:rFonts w:cs="Courier New" w:ascii="Courier New" w:hAnsi="Courier New"/>
                <w:spacing w:val="0"/>
              </w:rPr>
              <w:tab/>
              <w:t>vs.</w:t>
            </w:r>
            <w:bookmarkEnd w:id="3"/>
          </w:p>
          <w:p>
            <w:pPr>
              <w:pStyle w:val="PleadingCaption"/>
              <w:tabs>
                <w:tab w:val="clear" w:pos="2707"/>
                <w:tab w:val="left" w:pos="1066" w:leader="none"/>
                <w:tab w:val="left" w:pos="2340" w:leader="none"/>
                <w:tab w:val="right" w:pos="9360" w:leader="none"/>
              </w:tabs>
              <w:rPr>
                <w:rFonts w:ascii="Courier New" w:hAnsi="Courier New" w:cs="Courier New"/>
                <w:spacing w:val="0"/>
              </w:rPr>
            </w:pPr>
            <w:r>
              <w:rPr>
                <w:rFonts w:cs="Courier New" w:ascii="Courier New" w:hAnsi="Courier New"/>
                <w:spacing w:val="0"/>
              </w:rPr>
            </w:r>
          </w:p>
          <w:p>
            <w:pPr>
              <w:pStyle w:val="PleadingCaption"/>
              <w:tabs>
                <w:tab w:val="clear" w:pos="2707"/>
                <w:tab w:val="left" w:pos="1066" w:leader="none"/>
                <w:tab w:val="left" w:pos="2340" w:leader="none"/>
                <w:tab w:val="right" w:pos="9360" w:leader="none"/>
              </w:tabs>
              <w:rPr>
                <w:rFonts w:ascii="Courier New" w:hAnsi="Courier New" w:cs="Courier New"/>
                <w:spacing w:val="0"/>
              </w:rPr>
            </w:pPr>
            <w:r>
              <w:rPr>
                <w:rFonts w:cs="Courier New" w:ascii="Courier New" w:hAnsi="Courier New"/>
                <w:spacing w:val="0"/>
              </w:rPr>
              <w:t>CALIFORNIA POWER EXCHANGE CORPORATION,</w:t>
            </w:r>
          </w:p>
          <w:p>
            <w:pPr>
              <w:pStyle w:val="PleadingCaption"/>
              <w:tabs>
                <w:tab w:val="clear" w:pos="2707"/>
                <w:tab w:val="left" w:pos="1066" w:leader="none"/>
                <w:tab w:val="left" w:pos="2340" w:leader="none"/>
                <w:tab w:val="left" w:pos="3060" w:leader="none"/>
                <w:tab w:val="right" w:pos="9360" w:leader="none"/>
              </w:tabs>
              <w:rPr>
                <w:rFonts w:ascii="Courier New" w:hAnsi="Courier New" w:cs="Courier New"/>
                <w:spacing w:val="0"/>
              </w:rPr>
            </w:pPr>
            <w:r>
              <w:rPr>
                <w:rFonts w:cs="Courier New" w:ascii="Courier New" w:hAnsi="Courier New"/>
                <w:spacing w:val="0"/>
              </w:rPr>
            </w:r>
          </w:p>
          <w:p>
            <w:pPr>
              <w:pStyle w:val="PleadingCaption"/>
              <w:tabs>
                <w:tab w:val="clear" w:pos="2707"/>
                <w:tab w:val="left" w:pos="1066" w:leader="none"/>
                <w:tab w:val="left" w:pos="2340" w:leader="none"/>
                <w:tab w:val="left" w:pos="3060" w:leader="none"/>
                <w:tab w:val="right" w:pos="9360" w:leader="none"/>
              </w:tabs>
              <w:rPr>
                <w:rFonts w:ascii="Courier New" w:hAnsi="Courier New" w:cs="Courier New"/>
                <w:spacing w:val="0"/>
              </w:rPr>
            </w:pPr>
            <w:r>
              <w:rPr>
                <w:rFonts w:cs="Courier New" w:ascii="Courier New" w:hAnsi="Courier New"/>
                <w:spacing w:val="0"/>
              </w:rPr>
              <w:tab/>
              <w:tab/>
              <w:t>Defendant.</w:t>
            </w:r>
          </w:p>
          <w:p>
            <w:pPr>
              <w:pStyle w:val="PleadingCaption"/>
              <w:rPr>
                <w:rFonts w:ascii="Courier New" w:hAnsi="Courier New" w:cs="Courier New"/>
                <w:spacing w:val="0"/>
              </w:rPr>
            </w:pPr>
            <w:r>
              <w:rPr>
                <w:rFonts w:cs="Courier New" w:ascii="Courier New" w:hAnsi="Courier New"/>
                <w:spacing w:val="0"/>
              </w:rPr>
            </w:r>
            <w:bookmarkStart w:id="4" w:name="Probate"/>
            <w:bookmarkStart w:id="5" w:name="Probate"/>
            <w:bookmarkEnd w:id="5"/>
          </w:p>
        </w:tc>
        <w:tc>
          <w:tcPr>
            <w:tcW w:w="4518" w:type="dxa"/>
            <w:tcBorders/>
          </w:tcPr>
          <w:p>
            <w:pPr>
              <w:pStyle w:val="PleadingCaption"/>
              <w:tabs>
                <w:tab w:val="clear" w:pos="1066"/>
                <w:tab w:val="clear" w:pos="2707"/>
                <w:tab w:val="left" w:pos="1152" w:leader="none"/>
                <w:tab w:val="right" w:pos="9360" w:leader="none"/>
              </w:tabs>
              <w:ind w:start="162" w:end="0"/>
              <w:rPr>
                <w:rFonts w:ascii="Courier New" w:hAnsi="Courier New" w:cs="Courier New"/>
                <w:spacing w:val="0"/>
              </w:rPr>
            </w:pPr>
            <w:r>
              <w:rPr>
                <w:rFonts w:cs="Courier New" w:ascii="Courier New" w:hAnsi="Courier New"/>
                <w:spacing w:val="0"/>
              </w:rPr>
              <w:t>CASE NO.</w:t>
            </w:r>
          </w:p>
          <w:p>
            <w:pPr>
              <w:pStyle w:val="PleadingCaption"/>
              <w:tabs>
                <w:tab w:val="clear" w:pos="1066"/>
                <w:tab w:val="clear" w:pos="2707"/>
                <w:tab w:val="left" w:pos="1152" w:leader="none"/>
                <w:tab w:val="right" w:pos="9360" w:leader="none"/>
              </w:tabs>
              <w:ind w:start="162" w:end="0"/>
              <w:rPr>
                <w:rFonts w:ascii="Courier New" w:hAnsi="Courier New" w:cs="Courier New"/>
                <w:spacing w:val="0"/>
              </w:rPr>
            </w:pPr>
            <w:r>
              <w:rPr>
                <w:rFonts w:cs="Courier New" w:ascii="Courier New" w:hAnsi="Courier New"/>
                <w:spacing w:val="0"/>
              </w:rPr>
            </w:r>
          </w:p>
          <w:p>
            <w:pPr>
              <w:pStyle w:val="PleadingCaption"/>
              <w:tabs>
                <w:tab w:val="clear" w:pos="1066"/>
                <w:tab w:val="clear" w:pos="2707"/>
                <w:tab w:val="left" w:pos="1152" w:leader="none"/>
                <w:tab w:val="right" w:pos="9360" w:leader="none"/>
              </w:tabs>
              <w:ind w:start="162" w:end="0"/>
              <w:rPr>
                <w:rFonts w:ascii="Courier New" w:hAnsi="Courier New" w:cs="Courier New"/>
                <w:caps/>
                <w:spacing w:val="0"/>
              </w:rPr>
            </w:pPr>
            <w:r>
              <w:rPr>
                <w:rFonts w:cs="Courier New" w:ascii="Courier New" w:hAnsi="Courier New"/>
                <w:caps/>
                <w:spacing w:val="0"/>
              </w:rPr>
            </w:r>
          </w:p>
          <w:p>
            <w:pPr>
              <w:pStyle w:val="PleadingCaption"/>
              <w:tabs>
                <w:tab w:val="clear" w:pos="1066"/>
                <w:tab w:val="clear" w:pos="2707"/>
                <w:tab w:val="left" w:pos="1152" w:leader="none"/>
                <w:tab w:val="right" w:pos="9360" w:leader="none"/>
              </w:tabs>
              <w:ind w:start="162" w:end="0"/>
              <w:rPr>
                <w:rFonts w:ascii="Courier New" w:hAnsi="Courier New" w:cs="Courier New"/>
                <w:caps/>
                <w:spacing w:val="0"/>
              </w:rPr>
            </w:pPr>
            <w:r>
              <w:rPr>
                <w:rFonts w:cs="Courier New" w:ascii="Courier New" w:hAnsi="Courier New"/>
                <w:caps/>
                <w:spacing w:val="0"/>
              </w:rPr>
              <w:t>COMPLAINT FOR:</w:t>
            </w:r>
          </w:p>
          <w:p>
            <w:pPr>
              <w:pStyle w:val="PleadingCaption"/>
              <w:tabs>
                <w:tab w:val="clear" w:pos="1066"/>
                <w:tab w:val="clear" w:pos="2707"/>
                <w:tab w:val="left" w:pos="1152" w:leader="none"/>
                <w:tab w:val="right" w:pos="9360" w:leader="none"/>
              </w:tabs>
              <w:ind w:start="162" w:end="0"/>
              <w:rPr>
                <w:rFonts w:ascii="Courier New" w:hAnsi="Courier New" w:cs="Courier New"/>
                <w:caps/>
                <w:spacing w:val="0"/>
              </w:rPr>
            </w:pPr>
            <w:r>
              <w:rPr>
                <w:rFonts w:cs="Courier New" w:ascii="Courier New" w:hAnsi="Courier New"/>
                <w:caps/>
                <w:spacing w:val="0"/>
              </w:rPr>
            </w:r>
          </w:p>
          <w:p>
            <w:pPr>
              <w:pStyle w:val="PleadingCaption"/>
              <w:tabs>
                <w:tab w:val="clear" w:pos="1066"/>
                <w:tab w:val="clear" w:pos="2707"/>
                <w:tab w:val="left" w:pos="1152" w:leader="none"/>
                <w:tab w:val="right" w:pos="9360" w:leader="none"/>
              </w:tabs>
              <w:ind w:hanging="450" w:start="612" w:end="0"/>
              <w:rPr/>
            </w:pPr>
            <w:r>
              <w:rPr>
                <w:rFonts w:cs="Courier New" w:ascii="Courier New" w:hAnsi="Courier New"/>
                <w:caps/>
                <w:spacing w:val="0"/>
              </w:rPr>
              <w:t>1.</w:t>
              <w:tab/>
            </w:r>
            <w:r>
              <w:rPr>
                <w:rFonts w:cs="Courier New" w:ascii="Courier New" w:hAnsi="Courier New"/>
                <w:spacing w:val="0"/>
              </w:rPr>
              <w:t xml:space="preserve">BREACH OF PX PARTICIPATION AGREEMENT; </w:t>
            </w:r>
          </w:p>
          <w:p>
            <w:pPr>
              <w:pStyle w:val="PleadingCaption"/>
              <w:tabs>
                <w:tab w:val="clear" w:pos="1066"/>
                <w:tab w:val="clear" w:pos="2707"/>
                <w:tab w:val="left" w:pos="1152" w:leader="none"/>
                <w:tab w:val="right" w:pos="9360" w:leader="none"/>
              </w:tabs>
              <w:ind w:hanging="450" w:start="612" w:end="0"/>
              <w:rPr>
                <w:rFonts w:ascii="Courier New" w:hAnsi="Courier New" w:cs="Courier New"/>
                <w:spacing w:val="0"/>
              </w:rPr>
            </w:pPr>
            <w:r>
              <w:rPr>
                <w:rFonts w:cs="Courier New" w:ascii="Courier New" w:hAnsi="Courier New"/>
                <w:spacing w:val="0"/>
              </w:rPr>
              <w:t>2.</w:t>
              <w:tab/>
              <w:t>BREACH OF THE COVENANT OF GOOD FAITH AND FAIR DEALING;</w:t>
            </w:r>
          </w:p>
          <w:p>
            <w:pPr>
              <w:pStyle w:val="PleadingCaption"/>
              <w:tabs>
                <w:tab w:val="clear" w:pos="1066"/>
                <w:tab w:val="clear" w:pos="2707"/>
                <w:tab w:val="left" w:pos="1152" w:leader="none"/>
                <w:tab w:val="right" w:pos="9360" w:leader="none"/>
              </w:tabs>
              <w:ind w:hanging="450" w:start="612" w:end="0"/>
              <w:rPr>
                <w:rFonts w:ascii="Courier New" w:hAnsi="Courier New" w:cs="Courier New"/>
                <w:spacing w:val="0"/>
              </w:rPr>
            </w:pPr>
            <w:r>
              <w:rPr>
                <w:rFonts w:cs="Courier New" w:ascii="Courier New" w:hAnsi="Courier New"/>
                <w:spacing w:val="0"/>
              </w:rPr>
              <w:t>3.</w:t>
              <w:tab/>
              <w:t>BREACH OF FIDUCIARY DUTY;</w:t>
            </w:r>
          </w:p>
          <w:p>
            <w:pPr>
              <w:pStyle w:val="PleadingCaption"/>
              <w:tabs>
                <w:tab w:val="clear" w:pos="1066"/>
                <w:tab w:val="clear" w:pos="2707"/>
                <w:tab w:val="left" w:pos="1152" w:leader="none"/>
                <w:tab w:val="right" w:pos="9360" w:leader="none"/>
              </w:tabs>
              <w:ind w:hanging="450" w:start="612" w:end="0"/>
              <w:rPr>
                <w:rFonts w:ascii="Courier New" w:hAnsi="Courier New" w:cs="Courier New"/>
                <w:spacing w:val="0"/>
              </w:rPr>
            </w:pPr>
            <w:r>
              <w:rPr>
                <w:rFonts w:cs="Courier New" w:ascii="Courier New" w:hAnsi="Courier New"/>
                <w:spacing w:val="0"/>
              </w:rPr>
              <w:t>4.</w:t>
              <w:tab/>
              <w:t>CONVERSION;</w:t>
            </w:r>
          </w:p>
          <w:p>
            <w:pPr>
              <w:pStyle w:val="PleadingCaption"/>
              <w:tabs>
                <w:tab w:val="clear" w:pos="1066"/>
                <w:tab w:val="clear" w:pos="2707"/>
                <w:tab w:val="left" w:pos="1152" w:leader="none"/>
                <w:tab w:val="right" w:pos="9360" w:leader="none"/>
              </w:tabs>
              <w:ind w:hanging="450" w:start="612" w:end="0"/>
              <w:rPr>
                <w:rFonts w:ascii="Courier New" w:hAnsi="Courier New" w:cs="Courier New"/>
                <w:spacing w:val="0"/>
              </w:rPr>
            </w:pPr>
            <w:r>
              <w:rPr>
                <w:rFonts w:cs="Courier New" w:ascii="Courier New" w:hAnsi="Courier New"/>
                <w:spacing w:val="0"/>
              </w:rPr>
              <w:t>5.</w:t>
              <w:tab/>
              <w:t xml:space="preserve">IMPOSITION OF CONSTRUCTIVE TRUST; </w:t>
            </w:r>
          </w:p>
          <w:p>
            <w:pPr>
              <w:pStyle w:val="PleadingCaption"/>
              <w:tabs>
                <w:tab w:val="clear" w:pos="1066"/>
                <w:tab w:val="clear" w:pos="2707"/>
                <w:tab w:val="left" w:pos="1152" w:leader="none"/>
                <w:tab w:val="right" w:pos="9360" w:leader="none"/>
              </w:tabs>
              <w:ind w:hanging="450" w:start="612" w:end="0"/>
              <w:rPr>
                <w:rFonts w:ascii="Courier New" w:hAnsi="Courier New" w:cs="Courier New"/>
                <w:spacing w:val="0"/>
              </w:rPr>
            </w:pPr>
            <w:r>
              <w:rPr>
                <w:rFonts w:cs="Courier New" w:ascii="Courier New" w:hAnsi="Courier New"/>
                <w:spacing w:val="0"/>
              </w:rPr>
              <w:t>6.</w:t>
              <w:tab/>
              <w:t xml:space="preserve">DECLARATORY JUDGMENT; </w:t>
            </w:r>
          </w:p>
          <w:p>
            <w:pPr>
              <w:pStyle w:val="PleadingCaption"/>
              <w:tabs>
                <w:tab w:val="clear" w:pos="1066"/>
                <w:tab w:val="clear" w:pos="2707"/>
                <w:tab w:val="left" w:pos="1152" w:leader="none"/>
                <w:tab w:val="right" w:pos="9360" w:leader="none"/>
              </w:tabs>
              <w:ind w:hanging="450" w:start="612" w:end="0"/>
              <w:rPr>
                <w:rFonts w:ascii="Courier New" w:hAnsi="Courier New" w:cs="Courier New"/>
                <w:spacing w:val="0"/>
              </w:rPr>
            </w:pPr>
            <w:r>
              <w:rPr>
                <w:rFonts w:cs="Courier New" w:ascii="Courier New" w:hAnsi="Courier New"/>
                <w:spacing w:val="0"/>
              </w:rPr>
              <w:t>7.</w:t>
              <w:tab/>
              <w:t xml:space="preserve">INJUNCTIVE RELIEF (TRO AND PRELIMINARY INJUNCTION); AND </w:t>
            </w:r>
          </w:p>
          <w:p>
            <w:pPr>
              <w:pStyle w:val="PleadingCaption"/>
              <w:tabs>
                <w:tab w:val="clear" w:pos="1066"/>
                <w:tab w:val="left" w:pos="612" w:leader="none"/>
                <w:tab w:val="left" w:pos="2707" w:leader="none"/>
                <w:tab w:val="right" w:pos="9360" w:leader="none"/>
              </w:tabs>
              <w:ind w:start="162" w:end="0"/>
              <w:rPr>
                <w:rFonts w:ascii="Courier New" w:hAnsi="Courier New" w:cs="Courier New"/>
                <w:spacing w:val="0"/>
              </w:rPr>
            </w:pPr>
            <w:r>
              <w:rPr>
                <w:rFonts w:cs="Courier New" w:ascii="Courier New" w:hAnsi="Courier New"/>
                <w:spacing w:val="0"/>
              </w:rPr>
              <w:t>8.</w:t>
              <w:tab/>
              <w:t>AN ACCOUNTING</w:t>
            </w:r>
          </w:p>
        </w:tc>
      </w:tr>
    </w:tbl>
    <w:p>
      <w:pPr>
        <w:pStyle w:val="Normal"/>
        <w:rPr>
          <w:rFonts w:ascii="Courier New" w:hAnsi="Courier New" w:cs="Courier New"/>
          <w:spacing w:val="0"/>
        </w:rPr>
      </w:pPr>
      <w:r>
        <w:rPr>
          <w:rFonts w:cs="Courier New" w:ascii="Courier New" w:hAnsi="Courier New"/>
          <w:spacing w:val="0"/>
        </w:rPr>
      </w:r>
      <w:bookmarkStart w:id="6" w:name="Appeals"/>
      <w:bookmarkStart w:id="7" w:name="Appeals"/>
      <w:bookmarkEnd w:id="7"/>
    </w:p>
    <w:p>
      <w:pPr>
        <w:pStyle w:val="BodyText"/>
        <w:rPr>
          <w:rFonts w:ascii="Courier New" w:hAnsi="Courier New" w:cs="Courier New"/>
        </w:rPr>
      </w:pPr>
      <w:r>
        <w:rPr>
          <w:rFonts w:cs="Courier New" w:ascii="Courier New" w:hAnsi="Courier New"/>
        </w:rPr>
        <w:t>Plaintiff, Avista Energy, Inc. (“Plaintiff” or “Avista Energy”), for its complaint herein, alleges:</w:t>
      </w:r>
    </w:p>
    <w:p>
      <w:pPr>
        <w:pStyle w:val="CenterTitle"/>
        <w:rPr>
          <w:rFonts w:ascii="Courier New" w:hAnsi="Courier New" w:cs="Courier New"/>
        </w:rPr>
      </w:pPr>
      <w:r>
        <w:rPr>
          <w:rFonts w:cs="Courier New" w:ascii="Courier New" w:hAnsi="Courier New"/>
        </w:rPr>
        <w:t>JURISDICTION AND VENUE</w:t>
      </w:r>
    </w:p>
    <w:p>
      <w:pPr>
        <w:pStyle w:val="BodyText1"/>
        <w:numPr>
          <w:ilvl w:val="0"/>
          <w:numId w:val="3"/>
        </w:numPr>
        <w:rPr>
          <w:rFonts w:ascii="Courier New" w:hAnsi="Courier New" w:cs="Courier New"/>
        </w:rPr>
      </w:pPr>
      <w:r>
        <w:rPr>
          <w:rFonts w:cs="Courier New" w:ascii="Courier New" w:hAnsi="Courier New"/>
        </w:rPr>
        <w:t xml:space="preserve">This Court has jurisdiction over this action pursuant to 28 U.S.C. section 1331 and 16 U.S.C. section 825p, because it is an action brought to enforce a liability or duty created by, or to enjoin a violation of, the Federal Power Act, 16 U.S.C. sections 824 et seq.  Defendant California Power Exchange Corporation (“CalPX”) operates pursuant to the California Power Exchange Corporation FERC Electric Service Tariff No. 2 (“CalPX Tariff”), which has been filed with and approved by the Federal Energy Regulatory Commission (“FERC”).  The Court has jurisdiction over any claims not so arising based on 28 U.S.C. section 1367, because such claims are so related to the claims within this Court’s original jurisdiction that they form part of the same case or controversy.  </w:t>
      </w:r>
    </w:p>
    <w:p>
      <w:pPr>
        <w:pStyle w:val="BodyText1"/>
        <w:numPr>
          <w:ilvl w:val="0"/>
          <w:numId w:val="3"/>
        </w:numPr>
        <w:rPr>
          <w:rFonts w:ascii="Courier New" w:hAnsi="Courier New" w:cs="Courier New"/>
        </w:rPr>
      </w:pPr>
      <w:r>
        <w:rPr>
          <w:rFonts w:cs="Courier New" w:ascii="Courier New" w:hAnsi="Courier New"/>
        </w:rPr>
        <w:t xml:space="preserve">This Court also has jurisdiction over this action pursuant to 28 U.S.C. section 1332, because plaintiff and defendant are citizens of different states, and the matter in controversy exceeds the sum or value of $75,000.  </w:t>
      </w:r>
    </w:p>
    <w:p>
      <w:pPr>
        <w:pStyle w:val="BodyText1"/>
        <w:numPr>
          <w:ilvl w:val="0"/>
          <w:numId w:val="3"/>
        </w:numPr>
        <w:rPr>
          <w:rFonts w:ascii="Courier New" w:hAnsi="Courier New" w:cs="Courier New"/>
        </w:rPr>
      </w:pPr>
      <w:r>
        <w:rPr>
          <w:rFonts w:cs="Courier New" w:ascii="Courier New" w:hAnsi="Courier New"/>
        </w:rPr>
        <w:t xml:space="preserve">Venue is proper in this district pursuant to 28 U.S.C. section 1391(b)(1) and (2) because the defendant resides in this district and a substantial part of the events or omissions giving rise to the claims occurred in this district.  </w:t>
      </w:r>
    </w:p>
    <w:p>
      <w:pPr>
        <w:pStyle w:val="Heading"/>
        <w:rPr>
          <w:rFonts w:ascii="Courier New" w:hAnsi="Courier New" w:cs="Courier New"/>
        </w:rPr>
      </w:pPr>
      <w:r>
        <w:rPr>
          <w:rFonts w:cs="Courier New" w:ascii="Courier New" w:hAnsi="Courier New"/>
        </w:rPr>
        <w:t>THE PARTIES</w:t>
      </w:r>
    </w:p>
    <w:p>
      <w:pPr>
        <w:pStyle w:val="BodyText1"/>
        <w:numPr>
          <w:ilvl w:val="0"/>
          <w:numId w:val="3"/>
        </w:numPr>
        <w:rPr>
          <w:rFonts w:ascii="Courier New" w:hAnsi="Courier New" w:cs="Courier New"/>
        </w:rPr>
      </w:pPr>
      <w:r>
        <w:rPr>
          <w:rFonts w:cs="Courier New" w:ascii="Courier New" w:hAnsi="Courier New"/>
        </w:rPr>
        <w:t xml:space="preserve">Plaintiff Avista Energy is, and at all times mentioned herein has been, a corporation organized and existing under the laws of the State of Washington with its principal place of business in Spokane, Washington.  Avista Energy is in the business of, among other things, buying and selling energy.  </w:t>
      </w:r>
    </w:p>
    <w:p>
      <w:pPr>
        <w:pStyle w:val="BodyText1"/>
        <w:numPr>
          <w:ilvl w:val="0"/>
          <w:numId w:val="3"/>
        </w:numPr>
        <w:rPr>
          <w:rFonts w:ascii="Courier New" w:hAnsi="Courier New" w:cs="Courier New"/>
        </w:rPr>
      </w:pPr>
      <w:r>
        <w:rPr>
          <w:rFonts w:cs="Courier New" w:ascii="Courier New" w:hAnsi="Courier New"/>
        </w:rPr>
        <w:t xml:space="preserve">Plaintiff is informed and believes, and on that basis alleges, that defendant CalPX is a nonprofit public benefit corporation organized under the laws of the State of California, with its principal place of business in the County of Los Angeles, State of California.  </w:t>
      </w:r>
    </w:p>
    <w:p>
      <w:pPr>
        <w:pStyle w:val="Heading"/>
        <w:rPr>
          <w:rFonts w:ascii="Courier New" w:hAnsi="Courier New" w:cs="Courier New"/>
        </w:rPr>
      </w:pPr>
      <w:r>
        <w:rPr>
          <w:rFonts w:cs="Courier New" w:ascii="Courier New" w:hAnsi="Courier New"/>
        </w:rPr>
        <w:t>nature of the action</w:t>
      </w:r>
    </w:p>
    <w:p>
      <w:pPr>
        <w:pStyle w:val="BodyText1"/>
        <w:numPr>
          <w:ilvl w:val="0"/>
          <w:numId w:val="3"/>
        </w:numPr>
        <w:rPr>
          <w:rFonts w:ascii="Courier New" w:hAnsi="Courier New" w:cs="Courier New"/>
        </w:rPr>
      </w:pPr>
      <w:r>
        <w:rPr>
          <w:rFonts w:cs="Courier New" w:ascii="Courier New" w:hAnsi="Courier New"/>
        </w:rPr>
        <w:t xml:space="preserve">This action arises out of the debilitating series of cascading assessments being wrongfully issued against the participants in the California Power Exchange market as a result of the CalPX’s multiple failures to fulfill its obligations under its agreements with market participants such as Avista Energy.  The CalPX has a continuing, contractual duty to assess the creditworthiness of participants in its market, for the benefit of all market participants.  More particularly, the CalPX is obligated to obtain adequate security from all participants before allowing them to trade in the market.  The CalPX has a mandatory duty to monitor the financial situation and solvency of all participants, and any events affecting them, and to act to obtain additional security when it becomes necessary.  And in the event of default by any participant of amounts owing to the CalPX, the CalPX is required to follow a prescribed set of procedures which consist of first, proceeding against the security of the defaulting participant; second, proceeding against the pool performance bond the CalPX is required to maintain for the benefit of all participants; and third, proceeding to issue assessments </w:t>
      </w:r>
      <w:r>
        <w:rPr>
          <w:rFonts w:eastAsia="Symbol" w:cs="Symbol" w:ascii="Symbol" w:hAnsi="Symbol"/>
        </w:rPr>
        <w:sym w:font="Symbol" w:char="f0be"/>
      </w:r>
      <w:r>
        <w:rPr>
          <w:rFonts w:cs="Courier New" w:ascii="Courier New" w:hAnsi="Courier New"/>
        </w:rPr>
        <w:t xml:space="preserve"> “charge-back” notices </w:t>
      </w:r>
      <w:r>
        <w:rPr>
          <w:rFonts w:eastAsia="Symbol" w:cs="Symbol" w:ascii="Symbol" w:hAnsi="Symbol"/>
        </w:rPr>
        <w:sym w:font="Symbol" w:char="f0be"/>
      </w:r>
      <w:r>
        <w:rPr>
          <w:rFonts w:cs="Courier New" w:ascii="Courier New" w:hAnsi="Courier New"/>
        </w:rPr>
        <w:t xml:space="preserve"> to the other current participants in the market, based on their pro rata share of recent activity in the market.</w:t>
      </w:r>
    </w:p>
    <w:p>
      <w:pPr>
        <w:pStyle w:val="BodyText1"/>
        <w:numPr>
          <w:ilvl w:val="0"/>
          <w:numId w:val="3"/>
        </w:numPr>
        <w:rPr>
          <w:rFonts w:ascii="Courier New" w:hAnsi="Courier New" w:cs="Courier New"/>
        </w:rPr>
      </w:pPr>
      <w:r>
        <w:rPr>
          <w:rFonts w:cs="Courier New" w:ascii="Courier New" w:hAnsi="Courier New"/>
        </w:rPr>
        <w:t xml:space="preserve">The CalPX has repeatedly breached all of the above obligations.  Notwithstanding clear and public warnings of insolvency and imminent bankruptcy over a period stretching into many months, the CalPX did not require either Southern California Edison Company (“SCE”) or Pacific Gas and Electric Company (“PG&amp;E”) </w:t>
      </w:r>
      <w:r>
        <w:rPr>
          <w:rFonts w:eastAsia="Symbol" w:cs="Symbol" w:ascii="Symbol" w:hAnsi="Symbol"/>
        </w:rPr>
        <w:sym w:font="Symbol" w:char="f0be"/>
      </w:r>
      <w:r>
        <w:rPr>
          <w:rFonts w:cs="Courier New" w:ascii="Courier New" w:hAnsi="Courier New"/>
        </w:rPr>
        <w:t xml:space="preserve"> two of the largest participants in the CalPX market </w:t>
      </w:r>
      <w:r>
        <w:rPr>
          <w:rFonts w:eastAsia="Symbol" w:cs="Symbol" w:ascii="Symbol" w:hAnsi="Symbol"/>
        </w:rPr>
        <w:sym w:font="Symbol" w:char="f0be"/>
      </w:r>
      <w:r>
        <w:rPr>
          <w:rFonts w:cs="Courier New" w:ascii="Courier New" w:hAnsi="Courier New"/>
        </w:rPr>
        <w:t xml:space="preserve"> to post sufficient collateral.  It failed to monitor the credit situation or solvency of SCE and PG&amp;E.  When it became apparent that SCE and PG&amp;E were marching toward inevitable financial crisis, and clearly did not meet the CalPX’s criteria for trading in the market unsecured, the CalPX nevertheless allowed both to continue with massive trading on unlimited unsecured lines of credit.  It neither required SCE and PG&amp;E to post any collateral nor suspended their trading activity.  </w:t>
      </w:r>
    </w:p>
    <w:p>
      <w:pPr>
        <w:pStyle w:val="BodyText1"/>
        <w:numPr>
          <w:ilvl w:val="0"/>
          <w:numId w:val="3"/>
        </w:numPr>
        <w:rPr>
          <w:rFonts w:ascii="Courier New" w:hAnsi="Courier New" w:cs="Courier New"/>
        </w:rPr>
      </w:pPr>
      <w:r>
        <w:rPr>
          <w:rFonts w:cs="Courier New" w:ascii="Courier New" w:hAnsi="Courier New"/>
        </w:rPr>
        <w:t xml:space="preserve">And finally when the inevitable, massive utility defaults in the CalPX markets began </w:t>
      </w:r>
      <w:r>
        <w:rPr>
          <w:rFonts w:eastAsia="Symbol" w:cs="Symbol" w:ascii="Symbol" w:hAnsi="Symbol"/>
        </w:rPr>
        <w:sym w:font="Symbol" w:char="f0be"/>
      </w:r>
      <w:r>
        <w:rPr>
          <w:rFonts w:cs="Courier New" w:ascii="Courier New" w:hAnsi="Courier New"/>
        </w:rPr>
        <w:t xml:space="preserve"> SCE defaulting on $215 million of obligations to the CalPX on January 18, 2001 and PG&amp;E defaulting, on February 1, 2001, on some $611 million of obligations for its purchases through the California Independent Systems Operator (“ISO”) (for which purchases the CalPX acts as Scheduling Coordinator for PG&amp;E) </w:t>
      </w:r>
      <w:r>
        <w:rPr>
          <w:rFonts w:eastAsia="Symbol" w:cs="Symbol" w:ascii="Symbol" w:hAnsi="Symbol"/>
        </w:rPr>
        <w:sym w:font="Symbol" w:char="f0be"/>
      </w:r>
      <w:r>
        <w:rPr>
          <w:rFonts w:cs="Courier New" w:ascii="Courier New" w:hAnsi="Courier New"/>
        </w:rPr>
        <w:t xml:space="preserve"> the CalPX violated its obligations to the non-defaulting participants to follow the procedures set out in the CalPX Tariff.  It did not execute on the security it claims it did have access to for SCE </w:t>
      </w:r>
      <w:r>
        <w:rPr>
          <w:rFonts w:eastAsia="Symbol" w:cs="Symbol" w:ascii="Symbol" w:hAnsi="Symbol"/>
        </w:rPr>
        <w:sym w:font="Symbol" w:char="f0be"/>
      </w:r>
      <w:r>
        <w:rPr>
          <w:rFonts w:cs="Courier New" w:ascii="Courier New" w:hAnsi="Courier New"/>
        </w:rPr>
        <w:t xml:space="preserve"> approximately $650 million worth of Block-Forward Market contracts.  Nor did it execute on PG&amp;E’s Block-Forward Market contracts, estimated by the CalPX to be worth some $347 million.  Now those contracts have been seized by the Governor, under his emergency powers.  Nor did the CalPX show that it had drawn on the pool performance bond.  Instead, on the very day of SCE’s default, the CalPX immediately began issuing “charge-back” notices to the innocent, non-defaulting participants </w:t>
      </w:r>
      <w:r>
        <w:rPr>
          <w:rFonts w:eastAsia="Symbol" w:cs="Symbol" w:ascii="Symbol" w:hAnsi="Symbol"/>
        </w:rPr>
        <w:sym w:font="Symbol" w:char="f0be"/>
      </w:r>
      <w:r>
        <w:rPr>
          <w:rFonts w:cs="Courier New" w:ascii="Courier New" w:hAnsi="Courier New"/>
        </w:rPr>
        <w:t xml:space="preserve"> purportedly “due” within days </w:t>
      </w:r>
      <w:r>
        <w:rPr>
          <w:rFonts w:eastAsia="Symbol" w:cs="Symbol" w:ascii="Symbol" w:hAnsi="Symbol"/>
        </w:rPr>
        <w:sym w:font="Symbol" w:char="f0be"/>
      </w:r>
      <w:r>
        <w:rPr>
          <w:rFonts w:cs="Courier New" w:ascii="Courier New" w:hAnsi="Courier New"/>
        </w:rPr>
        <w:t xml:space="preserve"> to assess them for SCE’s massive defaulted obligations, and threatening to liquidate their collateral or security if immediate payment were not forthcoming.  And when some participants did not pay their share, the CalPX reallocated those shares to the other participants, resulting in a cascading series of “charge-back” assessments.  Indeed, the amount of SCE’s and PG&amp;E’s defaults to the CalPX and ISO are approaching a billion dollars.  And more are coming.  PG&amp;E estimates that its payment due to the CalPX on February 15, 2001 will be in excess of $100 million.  And SCE has projected that by February 28, 2001 it will owe another $733 million for its purchases through the CalPX and ISO and from other energy suppliers.  The CalPX apparently intends to collect these amounts — through “charge-back” assessments — from innocent participants like Avista Energy.  </w:t>
      </w:r>
    </w:p>
    <w:p>
      <w:pPr>
        <w:pStyle w:val="BodyText1"/>
        <w:numPr>
          <w:ilvl w:val="0"/>
          <w:numId w:val="3"/>
        </w:numPr>
        <w:rPr>
          <w:rFonts w:ascii="Courier New" w:hAnsi="Courier New" w:cs="Courier New"/>
        </w:rPr>
      </w:pPr>
      <w:r>
        <w:rPr>
          <w:rFonts w:cs="Courier New" w:ascii="Courier New" w:hAnsi="Courier New"/>
        </w:rPr>
        <w:t xml:space="preserve">Avista Energy already has been damaged by at least the $1,287,301 in these charge-back assessments it has paid (or the CalPX has withheld from it), under protest, as a result of the CalPX’s unauthorized actions in breach of its obligations.  And the CalPX has now informed Avista Energy that it intends to issue another charge-back notice — this one for $8 million against Avista Energy — in what can only be predicted to be a continuing stream of such wrongful notices resulting from SCE’s past and continuing defaults, and those of PG&amp;E and other market participants.  An immediate injunction is required because Avista Energy will have no remedy in money damages.  The CalPX has no substantial assets, and is expected to be out of business imminently; it has already suspended its operations effective January 31, 2001, and laid off nearly all its employees.  And the charge-back amounts being paid to the CalPX are purportedly being collected to pay outstanding obligations, </w:t>
      </w:r>
      <w:r>
        <w:rPr>
          <w:rFonts w:cs="Courier New" w:ascii="Courier New" w:hAnsi="Courier New"/>
          <w:i/>
        </w:rPr>
        <w:t>i.e</w:t>
      </w:r>
      <w:r>
        <w:rPr>
          <w:rFonts w:cs="Courier New" w:ascii="Courier New" w:hAnsi="Courier New"/>
        </w:rPr>
        <w:t>., to pay CalPX creditors.  So any charge-back amounts paid by Avista Energy will be immediately paid out by the CalPX to third parties.  If Avista Energy does not pay the charge-back amounts, the CalPX has threatened to proceed against Avista Energy’s letter of credit </w:t>
      </w:r>
      <w:r>
        <w:rPr>
          <w:rFonts w:eastAsia="Symbol" w:cs="Symbol" w:ascii="Symbol" w:hAnsi="Symbol"/>
        </w:rPr>
        <w:sym w:font="Symbol" w:char="f0be"/>
      </w:r>
      <w:r>
        <w:rPr>
          <w:rFonts w:cs="Courier New" w:ascii="Courier New" w:hAnsi="Courier New"/>
        </w:rPr>
        <w:t xml:space="preserve"> notwithstanding the CalPX’s breaches of duty and other wrongful acts described herein </w:t>
      </w:r>
      <w:r>
        <w:rPr>
          <w:rFonts w:eastAsia="Symbol" w:cs="Symbol" w:ascii="Symbol" w:hAnsi="Symbol"/>
        </w:rPr>
        <w:sym w:font="Symbol" w:char="f0be"/>
      </w:r>
      <w:r>
        <w:rPr>
          <w:rFonts w:cs="Courier New" w:ascii="Courier New" w:hAnsi="Courier New"/>
        </w:rPr>
        <w:t xml:space="preserve"> which could unduly harm Avista Energy’s business relationships and reputation.  In addition, it is premature for the CalPX to proceed with additional charge-backs until it has exhausted the security it claims it has for SCE’s and PG&amp;E’s defaults — </w:t>
      </w:r>
      <w:r>
        <w:rPr>
          <w:rFonts w:cs="Courier New" w:ascii="Courier New" w:hAnsi="Courier New"/>
          <w:i/>
        </w:rPr>
        <w:t>i.e.</w:t>
      </w:r>
      <w:r>
        <w:rPr>
          <w:rFonts w:cs="Courier New" w:ascii="Courier New" w:hAnsi="Courier New"/>
        </w:rPr>
        <w:t>, compensation for the SCE and PG&amp;E Block-Forward Market contracts and proceeds from the pool performance bond.  And failure to enjoin the CalPX will lead to a multiplicity of litigation, as the CalPX participants who pay the wrongful charge-backs, and are unable to recover them from the CalPX, will have to proceed against third parties who receive the funds, other CalPX participants, and/or the defaulting SCE and PG&amp;E (which are insolvent).  An immediate injunction is required.</w:t>
      </w:r>
    </w:p>
    <w:p>
      <w:pPr>
        <w:pStyle w:val="Heading"/>
        <w:keepNext w:val="true"/>
        <w:rPr>
          <w:rFonts w:ascii="Courier New" w:hAnsi="Courier New" w:cs="Courier New"/>
          <w:u w:val="single"/>
        </w:rPr>
      </w:pPr>
      <w:r>
        <w:rPr>
          <w:rFonts w:cs="Courier New" w:ascii="Courier New" w:hAnsi="Courier New"/>
          <w:u w:val="single"/>
        </w:rPr>
        <w:t>first claim for relief</w:t>
      </w:r>
    </w:p>
    <w:p>
      <w:pPr>
        <w:pStyle w:val="CenterTitle"/>
        <w:rPr/>
      </w:pPr>
      <w:r>
        <w:rPr>
          <w:rFonts w:cs="Courier New" w:ascii="Courier New" w:hAnsi="Courier New"/>
        </w:rPr>
        <w:t>(Breach of</w:t>
      </w:r>
      <w:r>
        <w:rPr>
          <w:rFonts w:cs="Courier New" w:ascii="Courier New" w:hAnsi="Courier New"/>
          <w:b w:val="false"/>
        </w:rPr>
        <w:t xml:space="preserve"> </w:t>
      </w:r>
      <w:r>
        <w:rPr>
          <w:rFonts w:cs="Courier New" w:ascii="Courier New" w:hAnsi="Courier New"/>
        </w:rPr>
        <w:t>CalPX</w:t>
      </w:r>
      <w:r>
        <w:rPr>
          <w:rFonts w:cs="Courier New" w:ascii="Courier New" w:hAnsi="Courier New"/>
          <w:b w:val="false"/>
        </w:rPr>
        <w:t xml:space="preserve"> </w:t>
      </w:r>
      <w:r>
        <w:rPr>
          <w:rFonts w:cs="Courier New" w:ascii="Courier New" w:hAnsi="Courier New"/>
        </w:rPr>
        <w:t>Participation Agreement)</w:t>
      </w:r>
    </w:p>
    <w:p>
      <w:pPr>
        <w:pStyle w:val="BodyText1"/>
        <w:numPr>
          <w:ilvl w:val="0"/>
          <w:numId w:val="3"/>
        </w:numPr>
        <w:rPr>
          <w:rFonts w:ascii="Courier New" w:hAnsi="Courier New" w:cs="Courier New"/>
        </w:rPr>
      </w:pPr>
      <w:r>
        <w:rPr>
          <w:rFonts w:cs="Courier New" w:ascii="Courier New" w:hAnsi="Courier New"/>
        </w:rPr>
        <w:t xml:space="preserve">The CalPX operates wholesale electricity markets for the purchase and sale of electricity within California.  Specifically, it operates what is known as the “Core Market,” on which electricity is bought and sold on a day-ahead or day-of basis.  It also operates the CalPX Trading Services Market, or “Block-Forward Market,” on which electricity is sold pursuant to longer term contracts, for delivery in the future.  </w:t>
      </w:r>
    </w:p>
    <w:p>
      <w:pPr>
        <w:pStyle w:val="BodyText1"/>
        <w:numPr>
          <w:ilvl w:val="0"/>
          <w:numId w:val="3"/>
        </w:numPr>
        <w:rPr>
          <w:rFonts w:ascii="Courier New" w:hAnsi="Courier New" w:cs="Courier New"/>
        </w:rPr>
      </w:pPr>
      <w:r>
        <w:rPr>
          <w:rFonts w:cs="Courier New" w:ascii="Courier New" w:hAnsi="Courier New"/>
        </w:rPr>
        <w:t>Purchasers and sellers of electricity participate in the CalPX Core and Block-Forward Markets pursuant to contracts entered into with the CalPX, called Participation Agreements.  The Participation Agreements, in turn, are governed by and incorporate the terms of the CalPX Tariff.  A true copy of the relevant portions of the CalPX Tariff (</w:t>
      </w:r>
      <w:r>
        <w:rPr>
          <w:rFonts w:cs="Courier New" w:ascii="Courier New" w:hAnsi="Courier New"/>
          <w:i/>
        </w:rPr>
        <w:t>i.e.</w:t>
      </w:r>
      <w:r>
        <w:rPr>
          <w:rFonts w:cs="Courier New" w:ascii="Courier New" w:hAnsi="Courier New"/>
        </w:rPr>
        <w:t xml:space="preserve">, the Tariff and Schedule 2 thereto) is attached as Exhibit 1 and is incorporated herein by this reference.  </w:t>
      </w:r>
    </w:p>
    <w:p>
      <w:pPr>
        <w:pStyle w:val="BodyText1"/>
        <w:numPr>
          <w:ilvl w:val="0"/>
          <w:numId w:val="3"/>
        </w:numPr>
        <w:rPr>
          <w:rFonts w:ascii="Courier New" w:hAnsi="Courier New" w:cs="Courier New"/>
        </w:rPr>
      </w:pPr>
      <w:r>
        <w:rPr>
          <w:rFonts w:cs="Courier New" w:ascii="Courier New" w:hAnsi="Courier New"/>
        </w:rPr>
        <w:t xml:space="preserve">Avista Energy entered into a Participation Agreement with the CalPX effective September 17, 1998.  A true copy of the Avista Energy Participation Agreement (“Participation Agreement”) is attached hereto as Exhibit 2 and is incorporated herein by this reference.  </w:t>
      </w:r>
    </w:p>
    <w:p>
      <w:pPr>
        <w:pStyle w:val="BodyText1"/>
        <w:numPr>
          <w:ilvl w:val="0"/>
          <w:numId w:val="3"/>
        </w:numPr>
        <w:rPr>
          <w:rFonts w:ascii="Courier New" w:hAnsi="Courier New" w:cs="Courier New"/>
        </w:rPr>
      </w:pPr>
      <w:r>
        <w:rPr>
          <w:rFonts w:cs="Courier New" w:ascii="Courier New" w:hAnsi="Courier New"/>
        </w:rPr>
        <w:t>Pursuant to the terms of the Participation Agreement and the CalPX Tariff, CalPX agreed to require each participant in the CalPX markets to provide evidence of its solvency and creditworthiness, not to be in default of any of its obligations to the CalPX, and to maintain collateral sufficient to cover its market activities, depending on its credit rating as assigned by the CalPX.  (See Exhibit 1, Schedule 2, at §§ 1, 2.)  The collateral can take the form of, among other things, an irrevocable letter of credit, a cash deposit, a surety bond, or a corporate guarantee from the participant’s parent company.  (</w:t>
      </w:r>
      <w:r>
        <w:rPr>
          <w:rFonts w:cs="Courier New" w:ascii="Courier New" w:hAnsi="Courier New"/>
          <w:i/>
        </w:rPr>
        <w:t>Id</w:t>
      </w:r>
      <w:r>
        <w:rPr>
          <w:rFonts w:cs="Courier New" w:ascii="Courier New" w:hAnsi="Courier New"/>
        </w:rPr>
        <w:t xml:space="preserve">. at § 2.1.)  </w:t>
      </w:r>
    </w:p>
    <w:p>
      <w:pPr>
        <w:pStyle w:val="BodyText1"/>
        <w:numPr>
          <w:ilvl w:val="0"/>
          <w:numId w:val="3"/>
        </w:numPr>
        <w:rPr>
          <w:rFonts w:ascii="Courier New" w:hAnsi="Courier New" w:cs="Courier New"/>
        </w:rPr>
      </w:pPr>
      <w:r>
        <w:rPr>
          <w:rFonts w:cs="Courier New" w:ascii="Courier New" w:hAnsi="Courier New"/>
        </w:rPr>
        <w:t>The CalPX Tariff provides that the amount of collateral a participant is required to maintain to trade in the CalPX market is based on its rating class as assigned by the CalPX — Superior, High, Medium or Low.  A “Low” rating requires the participant to maintain collateral sufficient to support its entire line of credit with the CalPX.  At the other end of the scale, if a participant has a “Superior” rating with the CalPX, its unsecured line of credit for Core Market activities is unlimited.  (</w:t>
      </w:r>
      <w:r>
        <w:rPr>
          <w:rFonts w:cs="Courier New" w:ascii="Courier New" w:hAnsi="Courier New"/>
          <w:i/>
        </w:rPr>
        <w:t>Id</w:t>
      </w:r>
      <w:r>
        <w:rPr>
          <w:rFonts w:cs="Courier New" w:ascii="Courier New" w:hAnsi="Courier New"/>
        </w:rPr>
        <w:t>. at § 1.5.)  To receive a “Superior” rating, a participant must meet the requirement, among others, of having “a stand-alone, short-term rating of A</w:t>
        <w:noBreakHyphen/>
        <w:t>1 by Standard &amp; Poor’s or a stand-alone, short term rating of P</w:t>
        <w:noBreakHyphen/>
        <w:t>1 by Moody’s.”  (</w:t>
      </w:r>
      <w:r>
        <w:rPr>
          <w:rFonts w:cs="Courier New" w:ascii="Courier New" w:hAnsi="Courier New"/>
          <w:i/>
        </w:rPr>
        <w:t>Id</w:t>
      </w:r>
      <w:r>
        <w:rPr>
          <w:rFonts w:cs="Courier New" w:ascii="Courier New" w:hAnsi="Courier New"/>
        </w:rPr>
        <w:t xml:space="preserve">. at § 1.5.1.)  </w:t>
      </w:r>
    </w:p>
    <w:p>
      <w:pPr>
        <w:pStyle w:val="BodyText1"/>
        <w:numPr>
          <w:ilvl w:val="0"/>
          <w:numId w:val="3"/>
        </w:numPr>
        <w:rPr>
          <w:rFonts w:ascii="Courier New" w:hAnsi="Courier New" w:cs="Courier New"/>
        </w:rPr>
      </w:pPr>
      <w:r>
        <w:rPr>
          <w:rFonts w:cs="Courier New" w:ascii="Courier New" w:hAnsi="Courier New"/>
        </w:rPr>
        <w:t>After the initial credit rating of a participant, the CalPX Tariff requires the CalPX to conduct regular and periodic reviews of a participant’s financial status to determine continuing compliance with the CalPX’s creditworthiness requirements.  (</w:t>
      </w:r>
      <w:r>
        <w:rPr>
          <w:rFonts w:cs="Courier New" w:ascii="Courier New" w:hAnsi="Courier New"/>
          <w:i/>
        </w:rPr>
        <w:t>Id</w:t>
      </w:r>
      <w:r>
        <w:rPr>
          <w:rFonts w:cs="Courier New" w:ascii="Courier New" w:hAnsi="Courier New"/>
        </w:rPr>
        <w:t>. at § 1.7.)  The CalPX also is required to conduct ongoing monitoring of information about the participant and events that would affect the participant.  (</w:t>
      </w:r>
      <w:r>
        <w:rPr>
          <w:rFonts w:cs="Courier New" w:ascii="Courier New" w:hAnsi="Courier New"/>
          <w:i/>
        </w:rPr>
        <w:t>Id</w:t>
      </w:r>
      <w:r>
        <w:rPr>
          <w:rFonts w:cs="Courier New" w:ascii="Courier New" w:hAnsi="Courier New"/>
        </w:rPr>
        <w:t>.)  In the event of a strong likelihood that any participant may become insolvent, the CalPX can take any action necessary to protect the CalPX and participants from potential loss.  (</w:t>
      </w:r>
      <w:r>
        <w:rPr>
          <w:rFonts w:cs="Courier New" w:ascii="Courier New" w:hAnsi="Courier New"/>
          <w:i/>
        </w:rPr>
        <w:t>Id</w:t>
      </w:r>
      <w:r>
        <w:rPr>
          <w:rFonts w:cs="Courier New" w:ascii="Courier New" w:hAnsi="Courier New"/>
        </w:rPr>
        <w:t xml:space="preserve">. at § 1.9.) </w:t>
      </w:r>
    </w:p>
    <w:p>
      <w:pPr>
        <w:pStyle w:val="BodyText1"/>
        <w:numPr>
          <w:ilvl w:val="0"/>
          <w:numId w:val="3"/>
        </w:numPr>
        <w:rPr>
          <w:rFonts w:ascii="Courier New" w:hAnsi="Courier New" w:cs="Courier New"/>
        </w:rPr>
      </w:pPr>
      <w:r>
        <w:rPr>
          <w:rFonts w:cs="Courier New" w:ascii="Courier New" w:hAnsi="Courier New"/>
        </w:rPr>
        <w:t>The CalPX is also required, pursuant to the Participation Agreement and the CalPX Tariff, to maintain a surety pool performance bond for the Core Market in an amount sufficient to cover participant defaults, to the extent that such defaults exceed the participant’s collateral.  (</w:t>
      </w:r>
      <w:r>
        <w:rPr>
          <w:rFonts w:cs="Courier New" w:ascii="Courier New" w:hAnsi="Courier New"/>
          <w:i/>
        </w:rPr>
        <w:t>Id</w:t>
      </w:r>
      <w:r>
        <w:rPr>
          <w:rFonts w:cs="Courier New" w:ascii="Courier New" w:hAnsi="Courier New"/>
        </w:rPr>
        <w:t xml:space="preserve">. at § 3.)  </w:t>
      </w:r>
    </w:p>
    <w:p>
      <w:pPr>
        <w:pStyle w:val="BodyText1"/>
        <w:numPr>
          <w:ilvl w:val="0"/>
          <w:numId w:val="3"/>
        </w:numPr>
        <w:rPr>
          <w:rFonts w:ascii="Courier New" w:hAnsi="Courier New" w:cs="Courier New"/>
        </w:rPr>
      </w:pPr>
      <w:r>
        <w:rPr>
          <w:rFonts w:cs="Courier New" w:ascii="Courier New" w:hAnsi="Courier New"/>
        </w:rPr>
        <w:t>If a participant defaults in any of its payments due the CalPX, the CalPX is required to take the necessary action to mitigate loss.  (</w:t>
      </w:r>
      <w:r>
        <w:rPr>
          <w:rFonts w:cs="Courier New" w:ascii="Courier New" w:hAnsi="Courier New"/>
          <w:i/>
        </w:rPr>
        <w:t>Id.</w:t>
      </w:r>
      <w:r>
        <w:rPr>
          <w:rFonts w:cs="Courier New" w:ascii="Courier New" w:hAnsi="Courier New"/>
        </w:rPr>
        <w:t xml:space="preserve"> at § 5.2.)  First, the CalPX must make reasonable efforts to enforce the defaulting participant’s security.  (</w:t>
      </w:r>
      <w:r>
        <w:rPr>
          <w:rFonts w:cs="Courier New" w:ascii="Courier New" w:hAnsi="Courier New"/>
          <w:i/>
        </w:rPr>
        <w:t>Id</w:t>
      </w:r>
      <w:r>
        <w:rPr>
          <w:rFonts w:cs="Courier New" w:ascii="Courier New" w:hAnsi="Courier New"/>
        </w:rPr>
        <w:t>. at § 5.2.1.)  A default in the Core Market is deemed a default in all the Block-Forward and Core Markets.  (</w:t>
      </w:r>
      <w:r>
        <w:rPr>
          <w:rFonts w:cs="Courier New" w:ascii="Courier New" w:hAnsi="Courier New"/>
          <w:i/>
        </w:rPr>
        <w:t>Id</w:t>
      </w:r>
      <w:r>
        <w:rPr>
          <w:rFonts w:cs="Courier New" w:ascii="Courier New" w:hAnsi="Courier New"/>
        </w:rPr>
        <w:t>. at § 5.)  If the participant was trading in both the Core and Block-Forward Markets, the CalPX is required to apply the participant’s collateral to recover the total loss for both markets.  (</w:t>
      </w:r>
      <w:r>
        <w:rPr>
          <w:rFonts w:cs="Courier New" w:ascii="Courier New" w:hAnsi="Courier New"/>
          <w:i/>
        </w:rPr>
        <w:t>Id</w:t>
      </w:r>
      <w:r>
        <w:rPr>
          <w:rFonts w:cs="Courier New" w:ascii="Courier New" w:hAnsi="Courier New"/>
        </w:rPr>
        <w:t xml:space="preserve">. at § 5.1.)  </w:t>
      </w:r>
    </w:p>
    <w:p>
      <w:pPr>
        <w:pStyle w:val="BodyText1"/>
        <w:numPr>
          <w:ilvl w:val="0"/>
          <w:numId w:val="3"/>
        </w:numPr>
        <w:rPr>
          <w:rFonts w:ascii="Courier New" w:hAnsi="Courier New" w:cs="Courier New"/>
        </w:rPr>
      </w:pPr>
      <w:r>
        <w:rPr>
          <w:rFonts w:cs="Courier New" w:ascii="Courier New" w:hAnsi="Courier New"/>
        </w:rPr>
        <w:t>Second, the CalPX is required to draw on the pool performance bond for any default amounts in excess of the participant’s posted collateral.  (</w:t>
      </w:r>
      <w:r>
        <w:rPr>
          <w:rFonts w:cs="Courier New" w:ascii="Courier New" w:hAnsi="Courier New"/>
          <w:i/>
        </w:rPr>
        <w:t>Id</w:t>
      </w:r>
      <w:r>
        <w:rPr>
          <w:rFonts w:cs="Courier New" w:ascii="Courier New" w:hAnsi="Courier New"/>
        </w:rPr>
        <w:t xml:space="preserve">. at § 5.2.2.)  </w:t>
      </w:r>
    </w:p>
    <w:p>
      <w:pPr>
        <w:pStyle w:val="BodyText1"/>
        <w:numPr>
          <w:ilvl w:val="0"/>
          <w:numId w:val="3"/>
        </w:numPr>
        <w:rPr>
          <w:rFonts w:ascii="Courier New" w:hAnsi="Courier New" w:cs="Courier New"/>
        </w:rPr>
      </w:pPr>
      <w:r>
        <w:rPr>
          <w:rFonts w:cs="Courier New" w:ascii="Courier New" w:hAnsi="Courier New"/>
        </w:rPr>
        <w:t xml:space="preserve">Finally, any </w:t>
      </w:r>
      <w:r>
        <w:rPr>
          <w:rFonts w:cs="Courier New" w:ascii="Courier New" w:hAnsi="Courier New"/>
          <w:i/>
        </w:rPr>
        <w:t>remaining</w:t>
      </w:r>
      <w:r>
        <w:rPr>
          <w:rFonts w:cs="Courier New" w:ascii="Courier New" w:hAnsi="Courier New"/>
        </w:rPr>
        <w:t xml:space="preserve"> default amount, after exhausting the defaulting participant’s security and drawing on the pool performance bond, will be allocated among all non-defaulting CalPX participants in accordance with a “proportional charge-back methodology,” as follows:  </w:t>
      </w:r>
    </w:p>
    <w:p>
      <w:pPr>
        <w:pStyle w:val="Quote"/>
        <w:spacing w:lineRule="exact" w:line="240"/>
        <w:rPr>
          <w:rFonts w:ascii="Courier New" w:hAnsi="Courier New" w:cs="Courier New"/>
        </w:rPr>
      </w:pPr>
      <w:r>
        <w:rPr>
          <w:rFonts w:cs="Courier New" w:ascii="Courier New" w:hAnsi="Courier New"/>
        </w:rPr>
        <w:t xml:space="preserve">The CalPX Participant’s outstanding default amount will be charged back to all current CalPX Participants based upon the percentage of its gross sales in MWhs to the total gross MWhs sales in the Core Market during the three calendar months preceding the event plus the current month-to-date.  </w:t>
      </w:r>
    </w:p>
    <w:p>
      <w:pPr>
        <w:pStyle w:val="AfterQuote"/>
        <w:rPr/>
      </w:pPr>
      <w:r>
        <w:rPr>
          <w:rFonts w:cs="Courier New" w:ascii="Courier New" w:hAnsi="Courier New"/>
        </w:rPr>
        <w:t>(</w:t>
      </w:r>
      <w:r>
        <w:rPr>
          <w:rFonts w:cs="Courier New" w:ascii="Courier New" w:hAnsi="Courier New"/>
          <w:i/>
        </w:rPr>
        <w:t>Id</w:t>
      </w:r>
      <w:r>
        <w:rPr>
          <w:rFonts w:cs="Courier New" w:ascii="Courier New" w:hAnsi="Courier New"/>
        </w:rPr>
        <w:t xml:space="preserve">. at §§ 5.2.4 and 5.3.)  </w:t>
      </w:r>
    </w:p>
    <w:p>
      <w:pPr>
        <w:pStyle w:val="BodyText1"/>
        <w:numPr>
          <w:ilvl w:val="0"/>
          <w:numId w:val="3"/>
        </w:numPr>
        <w:rPr>
          <w:rFonts w:ascii="Courier New" w:hAnsi="Courier New" w:cs="Courier New"/>
        </w:rPr>
      </w:pPr>
      <w:r>
        <w:rPr>
          <w:rFonts w:cs="Courier New" w:ascii="Courier New" w:hAnsi="Courier New"/>
        </w:rPr>
        <w:t>The CalPX is required to prepare and send to CalPX participants monthly invoices reflecting all payments and charges related to CalPX market involvement.  Any default charge-backs that are required to be paid pursuant to the CalPX Tariff are to be included on the CalPX invoice as an administrative fee.  (</w:t>
      </w:r>
      <w:r>
        <w:rPr>
          <w:rFonts w:cs="Courier New" w:ascii="Courier New" w:hAnsi="Courier New"/>
          <w:i/>
        </w:rPr>
        <w:t>Id.</w:t>
      </w:r>
      <w:r>
        <w:rPr>
          <w:rFonts w:cs="Courier New" w:ascii="Courier New" w:hAnsi="Courier New"/>
        </w:rPr>
        <w:t xml:space="preserve"> at § 4.1.)  CalPX participants are to pay all amounts due in a timely manner.  (</w:t>
      </w:r>
      <w:r>
        <w:rPr>
          <w:rFonts w:cs="Courier New" w:ascii="Courier New" w:hAnsi="Courier New"/>
          <w:i/>
        </w:rPr>
        <w:t>Id.</w:t>
      </w:r>
      <w:r>
        <w:rPr>
          <w:rFonts w:cs="Courier New" w:ascii="Courier New" w:hAnsi="Courier New"/>
        </w:rPr>
        <w:t xml:space="preserve"> at § 4.3.)</w:t>
      </w:r>
    </w:p>
    <w:p>
      <w:pPr>
        <w:pStyle w:val="BodyText1"/>
        <w:numPr>
          <w:ilvl w:val="0"/>
          <w:numId w:val="3"/>
        </w:numPr>
        <w:rPr>
          <w:rFonts w:ascii="Courier New" w:hAnsi="Courier New" w:cs="Courier New"/>
        </w:rPr>
      </w:pPr>
      <w:r>
        <w:rPr>
          <w:rFonts w:cs="Courier New" w:ascii="Courier New" w:hAnsi="Courier New"/>
        </w:rPr>
        <w:t xml:space="preserve">The CalPX is required to exercise due care in carrying out its responsibilities under the CalPX Tariff.  (Exhibit 1, at § 3.1.)  </w:t>
      </w:r>
    </w:p>
    <w:p>
      <w:pPr>
        <w:pStyle w:val="BodyText1"/>
        <w:numPr>
          <w:ilvl w:val="0"/>
          <w:numId w:val="3"/>
        </w:numPr>
        <w:rPr>
          <w:rFonts w:ascii="Courier New" w:hAnsi="Courier New" w:cs="Courier New"/>
        </w:rPr>
      </w:pPr>
      <w:r>
        <w:rPr>
          <w:rFonts w:cs="Courier New" w:ascii="Courier New" w:hAnsi="Courier New"/>
        </w:rPr>
        <w:t xml:space="preserve">Plaintiff is informed and believes, and on that basis alleges, that the CalPX did not require participants SCE and PG&amp;E to post collateral with the CalPX.  </w:t>
      </w:r>
    </w:p>
    <w:p>
      <w:pPr>
        <w:pStyle w:val="BodyText1"/>
        <w:numPr>
          <w:ilvl w:val="0"/>
          <w:numId w:val="3"/>
        </w:numPr>
        <w:rPr>
          <w:rFonts w:ascii="Courier New" w:hAnsi="Courier New" w:cs="Courier New"/>
        </w:rPr>
      </w:pPr>
      <w:r>
        <w:rPr>
          <w:rFonts w:cs="Courier New" w:ascii="Courier New" w:hAnsi="Courier New"/>
        </w:rPr>
        <w:t xml:space="preserve">By no later than the fall of 2000, the CalPX was aware that both SCE and PG&amp;E were in grave financial distress, that their financial ratings were in the process of becoming impaired, and that they were having great difficulty financing their energy purchases and other obligations.  </w:t>
      </w:r>
    </w:p>
    <w:p>
      <w:pPr>
        <w:pStyle w:val="BodyText1"/>
        <w:numPr>
          <w:ilvl w:val="0"/>
          <w:numId w:val="3"/>
        </w:numPr>
        <w:rPr>
          <w:rFonts w:ascii="Courier New" w:hAnsi="Courier New" w:cs="Courier New"/>
        </w:rPr>
      </w:pPr>
      <w:r>
        <w:rPr>
          <w:rFonts w:cs="Courier New" w:ascii="Courier New" w:hAnsi="Courier New"/>
        </w:rPr>
        <w:t xml:space="preserve">SCE defaulted on its obligations to the CalPX in the amount of approximately $215 million on or about January 18, 2001.  </w:t>
      </w:r>
    </w:p>
    <w:p>
      <w:pPr>
        <w:pStyle w:val="BodyText1"/>
        <w:numPr>
          <w:ilvl w:val="0"/>
          <w:numId w:val="3"/>
        </w:numPr>
        <w:rPr>
          <w:rFonts w:ascii="Courier New" w:hAnsi="Courier New" w:cs="Courier New"/>
        </w:rPr>
      </w:pPr>
      <w:r>
        <w:rPr>
          <w:rFonts w:cs="Courier New" w:ascii="Courier New" w:hAnsi="Courier New"/>
        </w:rPr>
        <w:t>The CalPX did not execute on the only security it claims it did have access to for SCE, namely SCE’s valuable Block-Forward Market contracts (which were then estimated to be worth approximately $650 million).  When the Los Angeles Superior Court subsequently temporarily enjoined the CalPX from executing on SCE’s Block-Forward Market contracts, the CalPX further compromised its obligations toward other market participants by waiving the mandatory statutory undertaking required by California Code of Civil Procedure Section 529.  At or about the time the injunction was lifted (on February 2, 2001), the Governor, under his emergency powers, seized SCE’s Block-Forward Market contracts.  On February 5, 2001, the Governor, under his emergency powers, seized PG&amp;E’s Block-Forward Market contracts, which the CalPX has estimated are worth $347 million.  Fair compensation will be required to be paid by the state for SCE’s and PG&amp;E’s Block-Forward Market contracts.  The CalPX has publicly taken the position that it is the owner of those contracts, for purposes of the compensation to be paid by the state.</w:t>
      </w:r>
    </w:p>
    <w:p>
      <w:pPr>
        <w:pStyle w:val="BodyText1"/>
        <w:numPr>
          <w:ilvl w:val="0"/>
          <w:numId w:val="3"/>
        </w:numPr>
        <w:rPr>
          <w:rFonts w:ascii="Courier New" w:hAnsi="Courier New" w:cs="Courier New"/>
        </w:rPr>
      </w:pPr>
      <w:r>
        <w:rPr>
          <w:rFonts w:cs="Courier New" w:ascii="Courier New" w:hAnsi="Courier New"/>
        </w:rPr>
        <w:t xml:space="preserve">Plaintiff is informed and believes that the CalPX has not successfully drawn on the $20 million pool performance bond in connection with SCE’s January 18, 2001 default.  </w:t>
      </w:r>
    </w:p>
    <w:p>
      <w:pPr>
        <w:pStyle w:val="BodyText1"/>
        <w:numPr>
          <w:ilvl w:val="0"/>
          <w:numId w:val="3"/>
        </w:numPr>
        <w:rPr>
          <w:rFonts w:ascii="Courier New" w:hAnsi="Courier New" w:cs="Courier New"/>
        </w:rPr>
      </w:pPr>
      <w:r>
        <w:rPr>
          <w:rFonts w:cs="Courier New" w:ascii="Courier New" w:hAnsi="Courier New"/>
        </w:rPr>
        <w:t xml:space="preserve">Based upon SCE’s default, the CalPX instead improperly and prematurely issued charge-back notices to the other CalPX participants.  On January 18, 2001, as a result of SCE’s default, the CalPX issued a charge-back invoice to Avista Energy in the amount of $1,270,807.  The CalPX, without authorization, paid itself this charge-back amount by withholding it from sums that were then due and payable from the CalPX to Avista Energy.  Avista Energy protested this charge-back-based withholding of funds due it, as reflected in the letter attached hereto as Exhibit 3 and incorporated by this reference.  </w:t>
      </w:r>
    </w:p>
    <w:p>
      <w:pPr>
        <w:pStyle w:val="BodyText1"/>
        <w:numPr>
          <w:ilvl w:val="0"/>
          <w:numId w:val="3"/>
        </w:numPr>
        <w:rPr>
          <w:rFonts w:ascii="Courier New" w:hAnsi="Courier New" w:cs="Courier New"/>
        </w:rPr>
      </w:pPr>
      <w:r>
        <w:rPr>
          <w:rFonts w:cs="Courier New" w:ascii="Courier New" w:hAnsi="Courier New"/>
        </w:rPr>
        <w:t xml:space="preserve">On January 24, 2001, again as a result of the SCE default, the CalPX issued an additional charge-back notice to Avista Energy in the amount of $16,494.  The CalPX demanded payment within two days, or by January 26, 2001.  </w:t>
      </w:r>
    </w:p>
    <w:p>
      <w:pPr>
        <w:pStyle w:val="BodyText1"/>
        <w:numPr>
          <w:ilvl w:val="0"/>
          <w:numId w:val="3"/>
        </w:numPr>
        <w:rPr>
          <w:rFonts w:ascii="Courier New" w:hAnsi="Courier New" w:cs="Courier New"/>
        </w:rPr>
      </w:pPr>
      <w:r>
        <w:rPr>
          <w:rFonts w:cs="Courier New" w:ascii="Courier New" w:hAnsi="Courier New"/>
        </w:rPr>
        <w:t xml:space="preserve">On January 26, 2001, Avista Energy paid the charge-back amount to the CalPX under protest and notified CalPX that it had breached its obligations and that Avista Energy did not owe the charge-back amounts, and reserved its rights to contest its obligation for the charge-back.  </w:t>
      </w:r>
    </w:p>
    <w:p>
      <w:pPr>
        <w:pStyle w:val="BodyText1"/>
        <w:numPr>
          <w:ilvl w:val="0"/>
          <w:numId w:val="3"/>
        </w:numPr>
        <w:rPr>
          <w:rFonts w:ascii="Courier New" w:hAnsi="Courier New" w:cs="Courier New"/>
        </w:rPr>
      </w:pPr>
      <w:r>
        <w:rPr>
          <w:rFonts w:cs="Courier New" w:ascii="Courier New" w:hAnsi="Courier New"/>
        </w:rPr>
        <w:t>Avista Energy withdrew from the CalPX and terminated its Participation Agreement on January 26, 2001.  Despite such withdrawal, the CalPX has informed Avista Energy that it will continue to impose additional charge-backs upon Avista Energy as if it were still a “current” participant under the CalPX Tariff.</w:t>
      </w:r>
    </w:p>
    <w:p>
      <w:pPr>
        <w:pStyle w:val="BodyText1"/>
        <w:numPr>
          <w:ilvl w:val="0"/>
          <w:numId w:val="3"/>
        </w:numPr>
        <w:rPr>
          <w:rFonts w:ascii="Courier New" w:hAnsi="Courier New" w:cs="Courier New"/>
        </w:rPr>
      </w:pPr>
      <w:r>
        <w:rPr>
          <w:rFonts w:cs="Courier New" w:ascii="Courier New" w:hAnsi="Courier New"/>
        </w:rPr>
        <w:t xml:space="preserve">Avista Energy is informed and believes that at least six CalPX participants did not pay the charge-back notices issued by the CalPX in connection with SCE’s default.  Avista Energy is further informed and believes that the CalPX did not proceed to draw on those participants’ collateral to satisfy the charge-back amounts. </w:t>
      </w:r>
      <w:r>
        <w:rPr>
          <w:rFonts w:cs="Courier New" w:ascii="Courier New" w:hAnsi="Courier New"/>
          <w:b/>
        </w:rPr>
        <w:t xml:space="preserve"> </w:t>
      </w:r>
      <w:r>
        <w:rPr>
          <w:rFonts w:cs="Courier New" w:ascii="Courier New" w:hAnsi="Courier New"/>
        </w:rPr>
        <w:t>Instead, the CalPX has informed Avista Energy that it will be proceeding to issue an additional charge-back notice to Avista Energy, scheduled to be issued February 8, 2001, as a result of the nonpayment by other CalPX participants of their charge-back notices.</w:t>
      </w:r>
    </w:p>
    <w:p>
      <w:pPr>
        <w:pStyle w:val="BodyText1"/>
        <w:numPr>
          <w:ilvl w:val="0"/>
          <w:numId w:val="3"/>
        </w:numPr>
        <w:rPr>
          <w:rFonts w:ascii="Courier New" w:hAnsi="Courier New" w:cs="Courier New"/>
        </w:rPr>
      </w:pPr>
      <w:r>
        <w:rPr>
          <w:rFonts w:cs="Courier New" w:ascii="Courier New" w:hAnsi="Courier New"/>
        </w:rPr>
        <w:t xml:space="preserve">Plaintiff is informed and believes that on February 1, 2001, PG&amp;E defaulted on obligations for purchases through the ISO in the amount of approximately $611 million.  </w:t>
      </w:r>
    </w:p>
    <w:p>
      <w:pPr>
        <w:pStyle w:val="BodyText1"/>
        <w:numPr>
          <w:ilvl w:val="0"/>
          <w:numId w:val="3"/>
        </w:numPr>
        <w:rPr>
          <w:rFonts w:ascii="Courier New" w:hAnsi="Courier New" w:cs="Courier New"/>
        </w:rPr>
      </w:pPr>
      <w:r>
        <w:rPr>
          <w:rFonts w:cs="Courier New" w:ascii="Courier New" w:hAnsi="Courier New"/>
        </w:rPr>
        <w:t xml:space="preserve">The CalPX has informed Avista Energy that it will be issuing, on February 8, 2001, a charge-back notice to Avista Energy based on PG&amp;E’s and SCE’s defaults, and that the invoice will be in the amount of approximately $8 million due from Avista Energy.  </w:t>
      </w:r>
    </w:p>
    <w:p>
      <w:pPr>
        <w:pStyle w:val="BodyText1"/>
        <w:numPr>
          <w:ilvl w:val="0"/>
          <w:numId w:val="3"/>
        </w:numPr>
        <w:rPr>
          <w:rFonts w:ascii="Courier New" w:hAnsi="Courier New" w:cs="Courier New"/>
        </w:rPr>
      </w:pPr>
      <w:r>
        <w:rPr>
          <w:rFonts w:cs="Courier New" w:ascii="Courier New" w:hAnsi="Courier New"/>
        </w:rPr>
        <w:t>Avista Energy has performed, or has been excused from performing, all the conditions, covenants and promises on its part required to be performed under the terms of the Participation Agreement.</w:t>
      </w:r>
    </w:p>
    <w:p>
      <w:pPr>
        <w:pStyle w:val="BodyText1"/>
        <w:numPr>
          <w:ilvl w:val="0"/>
          <w:numId w:val="3"/>
        </w:numPr>
        <w:rPr>
          <w:rFonts w:ascii="Courier New" w:hAnsi="Courier New" w:cs="Courier New"/>
        </w:rPr>
      </w:pPr>
      <w:r>
        <w:rPr>
          <w:rFonts w:cs="Courier New" w:ascii="Courier New" w:hAnsi="Courier New"/>
        </w:rPr>
        <w:t xml:space="preserve">Avista Energy has outstanding with the CalPX an irrevocable standby letter of credit in the amount of $500,000 issued by Bank of America, as security for its obligations to the CalPX.  </w:t>
      </w:r>
    </w:p>
    <w:p>
      <w:pPr>
        <w:pStyle w:val="BodyText1"/>
        <w:numPr>
          <w:ilvl w:val="0"/>
          <w:numId w:val="3"/>
        </w:numPr>
        <w:rPr>
          <w:rFonts w:ascii="Courier New" w:hAnsi="Courier New" w:cs="Courier New"/>
        </w:rPr>
      </w:pPr>
      <w:r>
        <w:rPr>
          <w:rFonts w:cs="Courier New" w:ascii="Courier New" w:hAnsi="Courier New"/>
        </w:rPr>
        <w:t xml:space="preserve">The CalPX has breached the terms of the Participation Agreement by the foregoing acts alleged herein, including, without limitation, its failure to exercise due care in performing its obligations under the CalPX Tariff; failure to monitor the creditworthiness and solvency of SCE and PG&amp;E; failure to take steps to obtain adequate security from SCE and PG&amp;E for their obligations to the CalPX; failure to timely draw on what security it had access to (SCE’s and PG&amp;E’s Block-Forward Market positions, the pool performance bond, and any collateral of PG&amp;E) before issuing charge-back notices to Avista Energy; and its issuance of improper charge-back notices to CalPX participants as a result of SCE’s and PG&amp;E’s defaults, and intent to issue additional charge-back notices as a result of other CalPX participants’ nonpayment of the charge-back amounts; and taking and withholding of Avista Energy’s money based on these improper charge-backs.  </w:t>
      </w:r>
    </w:p>
    <w:p>
      <w:pPr>
        <w:pStyle w:val="BodyText1"/>
        <w:numPr>
          <w:ilvl w:val="0"/>
          <w:numId w:val="3"/>
        </w:numPr>
        <w:rPr>
          <w:rFonts w:ascii="Courier New" w:hAnsi="Courier New" w:cs="Courier New"/>
        </w:rPr>
      </w:pPr>
      <w:r>
        <w:rPr>
          <w:rFonts w:cs="Courier New" w:ascii="Courier New" w:hAnsi="Courier New"/>
        </w:rPr>
        <w:t xml:space="preserve">As a direct and proximate result of the CalPX’s breaches of the Participation Agreement as alleged herein, Avista Energy has been and will be damaged in the amount of at least $1,287,301, plus interest thereon accruing at the legal rate from and after the dates the payments were made.  </w:t>
      </w:r>
    </w:p>
    <w:p>
      <w:pPr>
        <w:pStyle w:val="Heading"/>
        <w:keepNext w:val="true"/>
        <w:rPr>
          <w:rFonts w:ascii="Courier New" w:hAnsi="Courier New" w:cs="Courier New"/>
          <w:u w:val="single"/>
        </w:rPr>
      </w:pPr>
      <w:r>
        <w:rPr>
          <w:rFonts w:cs="Courier New" w:ascii="Courier New" w:hAnsi="Courier New"/>
          <w:u w:val="single"/>
        </w:rPr>
        <w:t>second CLAIM FOR RELIEF</w:t>
      </w:r>
    </w:p>
    <w:p>
      <w:pPr>
        <w:pStyle w:val="CenterTitle"/>
        <w:rPr>
          <w:rFonts w:ascii="Courier New" w:hAnsi="Courier New" w:cs="Courier New"/>
        </w:rPr>
      </w:pPr>
      <w:r>
        <w:rPr>
          <w:rFonts w:cs="Courier New" w:ascii="Courier New" w:hAnsi="Courier New"/>
        </w:rPr>
        <w:t>(Breach of the Covenant of Good Faith and Fair Dealing)</w:t>
      </w:r>
    </w:p>
    <w:p>
      <w:pPr>
        <w:pStyle w:val="BodyText1"/>
        <w:numPr>
          <w:ilvl w:val="0"/>
          <w:numId w:val="3"/>
        </w:numPr>
        <w:rPr>
          <w:rFonts w:ascii="Courier New" w:hAnsi="Courier New" w:cs="Courier New"/>
        </w:rPr>
      </w:pPr>
      <w:r>
        <w:rPr>
          <w:rFonts w:cs="Courier New" w:ascii="Courier New" w:hAnsi="Courier New"/>
        </w:rPr>
        <w:t>Plaintiff realleges and incorporates herein by reference each and every allegation contained in paragraphs 1 through and including 37 of this complaint.</w:t>
      </w:r>
    </w:p>
    <w:p>
      <w:pPr>
        <w:pStyle w:val="BodyText1"/>
        <w:numPr>
          <w:ilvl w:val="0"/>
          <w:numId w:val="3"/>
        </w:numPr>
        <w:rPr>
          <w:rFonts w:ascii="Courier New" w:hAnsi="Courier New" w:cs="Courier New"/>
        </w:rPr>
      </w:pPr>
      <w:r>
        <w:rPr>
          <w:rFonts w:cs="Courier New" w:ascii="Courier New" w:hAnsi="Courier New"/>
        </w:rPr>
        <w:t xml:space="preserve">Under California law, every contract, including the Participation Agreement alleged herein, contains an implied covenant of good faith and fair dealing requiring the parties to act with good faith and to deal fairly with each other; to refrain from doing anything that would deprive the other party of the benefits of the contract; to do everything that the contract presupposes the parties will do to accomplish the contract’s purpose; and not to deny, in bad faith and without probable cause, the existence of the contract or their liability thereunder.  </w:t>
      </w:r>
    </w:p>
    <w:p>
      <w:pPr>
        <w:pStyle w:val="BodyText1"/>
        <w:numPr>
          <w:ilvl w:val="0"/>
          <w:numId w:val="3"/>
        </w:numPr>
        <w:rPr>
          <w:rFonts w:ascii="Courier New" w:hAnsi="Courier New" w:cs="Courier New"/>
        </w:rPr>
      </w:pPr>
      <w:r>
        <w:rPr>
          <w:rFonts w:cs="Courier New" w:ascii="Courier New" w:hAnsi="Courier New"/>
        </w:rPr>
        <w:t xml:space="preserve">The CalPX has breached the covenant of good faith and fair dealing contained in its Participation Agreement with Avista Energy by, among other things, acting in the manner alleged in paragraphs 22 through 33 hereof.  </w:t>
      </w:r>
    </w:p>
    <w:p>
      <w:pPr>
        <w:pStyle w:val="BodyText1"/>
        <w:numPr>
          <w:ilvl w:val="0"/>
          <w:numId w:val="3"/>
        </w:numPr>
        <w:rPr>
          <w:rFonts w:ascii="Courier New" w:hAnsi="Courier New" w:cs="Courier New"/>
        </w:rPr>
      </w:pPr>
      <w:r>
        <w:rPr>
          <w:rFonts w:cs="Courier New" w:ascii="Courier New" w:hAnsi="Courier New"/>
        </w:rPr>
        <w:t xml:space="preserve">As a direct and proximate result of the CalPX’s breach of the covenant of good faith and fair dealing, Avista Energy has been and will be damaged in the amount of at least $1,287,301, plus interest thereon accruing at the legal rate from and after the dates the payments were made.  </w:t>
      </w:r>
    </w:p>
    <w:p>
      <w:pPr>
        <w:pStyle w:val="Heading"/>
        <w:keepNext w:val="true"/>
        <w:rPr>
          <w:rFonts w:ascii="Courier New" w:hAnsi="Courier New" w:cs="Courier New"/>
          <w:u w:val="single"/>
        </w:rPr>
      </w:pPr>
      <w:r>
        <w:rPr>
          <w:rFonts w:cs="Courier New" w:ascii="Courier New" w:hAnsi="Courier New"/>
          <w:u w:val="single"/>
        </w:rPr>
        <w:t>THIRD claim for relief</w:t>
      </w:r>
    </w:p>
    <w:p>
      <w:pPr>
        <w:pStyle w:val="CenterTitle"/>
        <w:rPr>
          <w:rFonts w:ascii="Courier New" w:hAnsi="Courier New" w:cs="Courier New"/>
        </w:rPr>
      </w:pPr>
      <w:r>
        <w:rPr>
          <w:rFonts w:cs="Courier New" w:ascii="Courier New" w:hAnsi="Courier New"/>
        </w:rPr>
        <w:t>(Breach of Fiduciary Duty)</w:t>
      </w:r>
    </w:p>
    <w:p>
      <w:pPr>
        <w:pStyle w:val="BodyText1"/>
        <w:numPr>
          <w:ilvl w:val="0"/>
          <w:numId w:val="3"/>
        </w:numPr>
        <w:rPr>
          <w:rFonts w:ascii="Courier New" w:hAnsi="Courier New" w:cs="Courier New"/>
        </w:rPr>
      </w:pPr>
      <w:r>
        <w:rPr>
          <w:rFonts w:cs="Courier New" w:ascii="Courier New" w:hAnsi="Courier New"/>
        </w:rPr>
        <w:t>Plaintiff realleges and incorporates herein by reference each and every allegation contained in paragraphs 1 through and including 41 of this complaint.</w:t>
      </w:r>
    </w:p>
    <w:p>
      <w:pPr>
        <w:pStyle w:val="BodyText1"/>
        <w:numPr>
          <w:ilvl w:val="0"/>
          <w:numId w:val="3"/>
        </w:numPr>
        <w:rPr>
          <w:rFonts w:ascii="Courier New" w:hAnsi="Courier New" w:cs="Courier New"/>
        </w:rPr>
      </w:pPr>
      <w:r>
        <w:rPr>
          <w:rFonts w:cs="Courier New" w:ascii="Courier New" w:hAnsi="Courier New"/>
        </w:rPr>
        <w:t xml:space="preserve">By virtue of the provisions of the CalPX Tariff and the Participation Agreement as alleged above, and the trust Avista Energy, as a participant in the CalPX market, reposed in the CalPX, the CalPX owed fiduciary duties of the highest good faith, integrity, care, and fair dealing to Avista Energy.  </w:t>
      </w:r>
    </w:p>
    <w:p>
      <w:pPr>
        <w:pStyle w:val="BodyText1"/>
        <w:numPr>
          <w:ilvl w:val="0"/>
          <w:numId w:val="3"/>
        </w:numPr>
        <w:rPr>
          <w:rFonts w:ascii="Courier New" w:hAnsi="Courier New" w:cs="Courier New"/>
        </w:rPr>
      </w:pPr>
      <w:r>
        <w:rPr>
          <w:rFonts w:cs="Courier New" w:ascii="Courier New" w:hAnsi="Courier New"/>
        </w:rPr>
        <w:t xml:space="preserve">The CalPX has breached its fiduciary duties to Avista Energy by the acts alleged herein, including, specifically, by the unauthorized taking and withholding of Avista Energy’s funds based on the CalPX’s wrongful charge-back notices.  </w:t>
      </w:r>
    </w:p>
    <w:p>
      <w:pPr>
        <w:pStyle w:val="BodyText1"/>
        <w:numPr>
          <w:ilvl w:val="0"/>
          <w:numId w:val="3"/>
        </w:numPr>
        <w:rPr>
          <w:rFonts w:ascii="Courier New" w:hAnsi="Courier New" w:cs="Courier New"/>
        </w:rPr>
      </w:pPr>
      <w:r>
        <w:rPr>
          <w:rFonts w:cs="Courier New" w:ascii="Courier New" w:hAnsi="Courier New"/>
        </w:rPr>
        <w:t xml:space="preserve">As a direct and proximate result of the CalPX’s breaches of fiduciary duty as alleged herein, Avista Energy has been and will be damaged in the amount of at least $1,287,301, plus interest thereon, and has suffered other consequential damages.  </w:t>
      </w:r>
    </w:p>
    <w:p>
      <w:pPr>
        <w:pStyle w:val="BodyText1"/>
        <w:numPr>
          <w:ilvl w:val="0"/>
          <w:numId w:val="3"/>
        </w:numPr>
        <w:rPr>
          <w:rFonts w:ascii="Courier New" w:hAnsi="Courier New" w:cs="Courier New"/>
        </w:rPr>
      </w:pPr>
      <w:r>
        <w:rPr>
          <w:rFonts w:cs="Courier New" w:ascii="Courier New" w:hAnsi="Courier New"/>
        </w:rPr>
        <w:t xml:space="preserve">Furthermore, by acting in the manner alleged herein, the CalPX has acted wrongfully, maliciously, in bad faith, and in willful disregard of Avista Energy’s rights.  These acts of the CalPX were undertaken by officers, directors, or managing agents of said entity and/or with the authorization or ratification of such persons.  Therefore, in addition to its actual damages, Avista Energy is entitled to recover punitive damages from the CalPX in an amount sufficient to punish and deter such conduct by the CalPX in the future, in an amount to be determined at trial.   </w:t>
      </w:r>
    </w:p>
    <w:p>
      <w:pPr>
        <w:pStyle w:val="Heading"/>
        <w:keepNext w:val="true"/>
        <w:rPr>
          <w:rFonts w:ascii="Courier New" w:hAnsi="Courier New" w:cs="Courier New"/>
          <w:u w:val="single"/>
        </w:rPr>
      </w:pPr>
      <w:r>
        <w:rPr>
          <w:rFonts w:cs="Courier New" w:ascii="Courier New" w:hAnsi="Courier New"/>
          <w:u w:val="single"/>
        </w:rPr>
        <w:t>FOURTH claim for relief</w:t>
      </w:r>
    </w:p>
    <w:p>
      <w:pPr>
        <w:pStyle w:val="CenterTitle"/>
        <w:rPr>
          <w:rFonts w:ascii="Courier New" w:hAnsi="Courier New" w:cs="Courier New"/>
        </w:rPr>
      </w:pPr>
      <w:r>
        <w:rPr>
          <w:rFonts w:cs="Courier New" w:ascii="Courier New" w:hAnsi="Courier New"/>
        </w:rPr>
        <w:t>(Conversion)</w:t>
      </w:r>
    </w:p>
    <w:p>
      <w:pPr>
        <w:pStyle w:val="BodyText1"/>
        <w:numPr>
          <w:ilvl w:val="0"/>
          <w:numId w:val="3"/>
        </w:numPr>
        <w:rPr>
          <w:rFonts w:ascii="Courier New" w:hAnsi="Courier New" w:cs="Courier New"/>
        </w:rPr>
      </w:pPr>
      <w:r>
        <w:rPr>
          <w:rFonts w:cs="Courier New" w:ascii="Courier New" w:hAnsi="Courier New"/>
        </w:rPr>
        <w:t xml:space="preserve">Plaintiff realleges and incorporates herein by reference each and every allegation contained in paragraphs 1 through and including 46 of this complaint.  </w:t>
      </w:r>
    </w:p>
    <w:p>
      <w:pPr>
        <w:pStyle w:val="BodyText1"/>
        <w:numPr>
          <w:ilvl w:val="0"/>
          <w:numId w:val="3"/>
        </w:numPr>
        <w:rPr>
          <w:rFonts w:ascii="Courier New" w:hAnsi="Courier New" w:cs="Courier New"/>
        </w:rPr>
      </w:pPr>
      <w:r>
        <w:rPr>
          <w:rFonts w:cs="Courier New" w:ascii="Courier New" w:hAnsi="Courier New"/>
        </w:rPr>
        <w:t xml:space="preserve">Avista Energy is now, and has been since January 18, 2001, entitled to possession of the $1,287,301 which the CalPX has either withheld from sums owing to Avista Energy or has demanded payment of from Avista Energy, as alleged herein.  </w:t>
      </w:r>
    </w:p>
    <w:p>
      <w:pPr>
        <w:pStyle w:val="BodyText1"/>
        <w:numPr>
          <w:ilvl w:val="0"/>
          <w:numId w:val="3"/>
        </w:numPr>
        <w:rPr>
          <w:rFonts w:ascii="Courier New" w:hAnsi="Courier New" w:cs="Courier New"/>
        </w:rPr>
      </w:pPr>
      <w:r>
        <w:rPr>
          <w:rFonts w:cs="Courier New" w:ascii="Courier New" w:hAnsi="Courier New"/>
        </w:rPr>
        <w:t xml:space="preserve">On or about January 18, 2001, the CalPX converted $1,270,807 of Avista Energy’s funds to its own use; and on January 26, 2001, the CalPX converted $16,494 of Avista Energy’s funds to its own use.  The CalPX has failed and refused, and continues to fail and refuse, to return said funds to Avista Energy, despite Avista Energy’s demands therefor.  </w:t>
      </w:r>
    </w:p>
    <w:p>
      <w:pPr>
        <w:pStyle w:val="BodyText1"/>
        <w:numPr>
          <w:ilvl w:val="0"/>
          <w:numId w:val="3"/>
        </w:numPr>
        <w:rPr>
          <w:rFonts w:ascii="Courier New" w:hAnsi="Courier New" w:cs="Courier New"/>
        </w:rPr>
      </w:pPr>
      <w:r>
        <w:rPr>
          <w:rFonts w:cs="Courier New" w:ascii="Courier New" w:hAnsi="Courier New"/>
        </w:rPr>
        <w:t xml:space="preserve">As a direct and proximate result of the foregoing wrongful conduct of the CalPX, Avista Energy has been damaged in the amount of at least $1,287,301, plus interest thereon.  Avista Energy is entitled to the return of said funds converted by the CalPX, plus consequential damages resulting from CalPX’s conversion.  </w:t>
      </w:r>
    </w:p>
    <w:p>
      <w:pPr>
        <w:pStyle w:val="BodyText1"/>
        <w:numPr>
          <w:ilvl w:val="0"/>
          <w:numId w:val="3"/>
        </w:numPr>
        <w:rPr>
          <w:rFonts w:ascii="Courier New" w:hAnsi="Courier New" w:cs="Courier New"/>
        </w:rPr>
      </w:pPr>
      <w:r>
        <w:rPr>
          <w:rFonts w:cs="Courier New" w:ascii="Courier New" w:hAnsi="Courier New"/>
        </w:rPr>
        <w:t xml:space="preserve">Furthermore, by acting in the manner alleged herein, the CalPX has acted wrongfully, maliciously, in bad faith, and in willful disregard of Avista Energy’s rights.  These acts of the CalPX were undertaken by officers, directors, or managing agents of said entity and/or with the authorization or ratification of such persons.  Therefore, in addition to the return of the funds, Avista Energy is entitled to recover punitive damages from the CalPX in an amount sufficient to punish and deter such conduct by the CalPX in the future, in an amount to be determined at trial.  </w:t>
      </w:r>
    </w:p>
    <w:p>
      <w:pPr>
        <w:pStyle w:val="Heading"/>
        <w:keepNext w:val="true"/>
        <w:rPr>
          <w:rFonts w:ascii="Courier New" w:hAnsi="Courier New" w:cs="Courier New"/>
          <w:u w:val="single"/>
        </w:rPr>
      </w:pPr>
      <w:r>
        <w:rPr>
          <w:rFonts w:cs="Courier New" w:ascii="Courier New" w:hAnsi="Courier New"/>
          <w:u w:val="single"/>
        </w:rPr>
        <w:t>FIFTH claim for relief</w:t>
      </w:r>
    </w:p>
    <w:p>
      <w:pPr>
        <w:pStyle w:val="CenterTitle"/>
        <w:rPr>
          <w:rFonts w:ascii="Courier New" w:hAnsi="Courier New" w:cs="Courier New"/>
        </w:rPr>
      </w:pPr>
      <w:r>
        <w:rPr>
          <w:rFonts w:cs="Courier New" w:ascii="Courier New" w:hAnsi="Courier New"/>
        </w:rPr>
        <w:t>(For Imposition of Constructive Trust)</w:t>
      </w:r>
    </w:p>
    <w:p>
      <w:pPr>
        <w:pStyle w:val="BodyText1"/>
        <w:numPr>
          <w:ilvl w:val="0"/>
          <w:numId w:val="3"/>
        </w:numPr>
        <w:rPr>
          <w:rFonts w:ascii="Courier New" w:hAnsi="Courier New" w:cs="Courier New"/>
        </w:rPr>
      </w:pPr>
      <w:r>
        <w:rPr>
          <w:rFonts w:cs="Courier New" w:ascii="Courier New" w:hAnsi="Courier New"/>
        </w:rPr>
        <w:t xml:space="preserve">Plaintiff realleges and incorporates herein by reference each and every allegation contained in paragraphs 1 through and including 51 of this complaint.  </w:t>
      </w:r>
    </w:p>
    <w:p>
      <w:pPr>
        <w:pStyle w:val="BodyText1"/>
        <w:numPr>
          <w:ilvl w:val="0"/>
          <w:numId w:val="3"/>
        </w:numPr>
        <w:rPr>
          <w:rFonts w:ascii="Courier New" w:hAnsi="Courier New" w:cs="Courier New"/>
        </w:rPr>
      </w:pPr>
      <w:r>
        <w:rPr>
          <w:rFonts w:cs="Courier New" w:ascii="Courier New" w:hAnsi="Courier New"/>
        </w:rPr>
        <w:t xml:space="preserve">By virtue of the facts alleged herein, including without limitation the CalPX’s breaches of contract, breaches of fiduciary duty, and conversion, the CalPX holds all amounts received from Avista Energy for charge-backs alleged herein as a constructive trustee for Avista Energy’s benefit; and it holds the proceeds of SCE’s and PG&amp;E’s Block-Forward Market contracts as a constructive trustee for the benefit of Avista Energy and other non-defaulting CalPX market participants.  </w:t>
      </w:r>
    </w:p>
    <w:p>
      <w:pPr>
        <w:pStyle w:val="BodyText1"/>
        <w:numPr>
          <w:ilvl w:val="0"/>
          <w:numId w:val="3"/>
        </w:numPr>
        <w:rPr>
          <w:rFonts w:ascii="Courier New" w:hAnsi="Courier New" w:cs="Courier New"/>
        </w:rPr>
      </w:pPr>
      <w:r>
        <w:rPr>
          <w:rFonts w:cs="Courier New" w:ascii="Courier New" w:hAnsi="Courier New"/>
        </w:rPr>
        <w:t xml:space="preserve">Accordingly, Avista Energy is entitled to imposition of a constructive trust on the amount of charge-backs the CalPX has obtained from Avista Energy, as well as the proceeds of SCE’s and PG&amp;E’s Block-Forward Market contracts, and an accounting of all said amounts the CalPX has received or will receive.  </w:t>
      </w:r>
    </w:p>
    <w:p>
      <w:pPr>
        <w:pStyle w:val="Heading"/>
        <w:keepNext w:val="true"/>
        <w:rPr>
          <w:rFonts w:ascii="Courier New" w:hAnsi="Courier New" w:cs="Courier New"/>
          <w:u w:val="single"/>
        </w:rPr>
      </w:pPr>
      <w:r>
        <w:rPr>
          <w:rFonts w:cs="Courier New" w:ascii="Courier New" w:hAnsi="Courier New"/>
          <w:u w:val="single"/>
        </w:rPr>
        <w:t>sixth claim for relief</w:t>
      </w:r>
    </w:p>
    <w:p>
      <w:pPr>
        <w:pStyle w:val="CenterTitle"/>
        <w:rPr>
          <w:rFonts w:ascii="Courier New" w:hAnsi="Courier New" w:cs="Courier New"/>
        </w:rPr>
      </w:pPr>
      <w:r>
        <w:rPr>
          <w:rFonts w:cs="Courier New" w:ascii="Courier New" w:hAnsi="Courier New"/>
        </w:rPr>
        <w:t>(For Declaratory Judgment)</w:t>
      </w:r>
    </w:p>
    <w:p>
      <w:pPr>
        <w:pStyle w:val="BodyText1"/>
        <w:numPr>
          <w:ilvl w:val="0"/>
          <w:numId w:val="3"/>
        </w:numPr>
        <w:rPr>
          <w:rFonts w:ascii="Courier New" w:hAnsi="Courier New" w:cs="Courier New"/>
        </w:rPr>
      </w:pPr>
      <w:r>
        <w:rPr>
          <w:rFonts w:cs="Courier New" w:ascii="Courier New" w:hAnsi="Courier New"/>
        </w:rPr>
        <w:t xml:space="preserve">Plaintiff realleges and incorporates herein by reference each and every allegation contained in paragraphs 1 through and including 54 of this complaint.  </w:t>
      </w:r>
    </w:p>
    <w:p>
      <w:pPr>
        <w:pStyle w:val="BodyText1"/>
        <w:numPr>
          <w:ilvl w:val="0"/>
          <w:numId w:val="3"/>
        </w:numPr>
        <w:rPr>
          <w:rFonts w:ascii="Courier New" w:hAnsi="Courier New" w:cs="Courier New"/>
        </w:rPr>
      </w:pPr>
      <w:r>
        <w:rPr>
          <w:rFonts w:cs="Courier New" w:ascii="Courier New" w:hAnsi="Courier New"/>
        </w:rPr>
        <w:t xml:space="preserve">An actual controversy has arisen and now exists between plaintiff and the CalPX regarding their rights and legal relations with respect to each other, in that:  </w:t>
      </w:r>
    </w:p>
    <w:p>
      <w:pPr>
        <w:pStyle w:val="BodyTexta"/>
        <w:numPr>
          <w:ilvl w:val="0"/>
          <w:numId w:val="4"/>
        </w:numPr>
        <w:rPr>
          <w:rFonts w:ascii="Courier New" w:hAnsi="Courier New" w:cs="Courier New"/>
        </w:rPr>
      </w:pPr>
      <w:r>
        <w:rPr>
          <w:rFonts w:cs="Courier New" w:ascii="Courier New" w:hAnsi="Courier New"/>
        </w:rPr>
        <w:t xml:space="preserve">Avista Energy claims and contends that, under the facts and circumstances as alleged herein, it is entitled to receive back the charge-back amounts it has paid to the CalPX (in the amount of at least $1,287,301); the additional charge-back notices the CalPX has informed Avista Energy it will be issuing to it are unauthorized and wrongful; Avista Energy should not be assessed any additional charge-backs on account of any past or future defaults of SCE, PG&amp;E and/or other market participants, both because the charge-backs have been issued only as a result of the CalPX’s breaches of the Participation Agreement and the CalPX Tariff and are unauthorized and wrongful, and because Avista Energy is no longer a current CalPX participant, for purposes of the CalPX Tariff charge-back provisions; and all amounts received for SCE’s and PG&amp;E’s Block-Forward Market contracts must be held in constructive trust for the other CalPX market participants, and the value of those contracts must be offset against the charge-backs being issued to CalPX participants; and  </w:t>
      </w:r>
    </w:p>
    <w:p>
      <w:pPr>
        <w:pStyle w:val="BodyTexta"/>
        <w:numPr>
          <w:ilvl w:val="0"/>
          <w:numId w:val="4"/>
        </w:numPr>
        <w:rPr>
          <w:rFonts w:ascii="Courier New" w:hAnsi="Courier New" w:cs="Courier New"/>
        </w:rPr>
      </w:pPr>
      <w:r>
        <w:rPr>
          <w:rFonts w:cs="Courier New" w:ascii="Courier New" w:hAnsi="Courier New"/>
        </w:rPr>
        <w:t xml:space="preserve">Plaintiff is informed and believes, and on that basis alleges, that the CalPX claims and contends to the contrary.  </w:t>
      </w:r>
    </w:p>
    <w:p>
      <w:pPr>
        <w:pStyle w:val="BodyText1"/>
        <w:numPr>
          <w:ilvl w:val="0"/>
          <w:numId w:val="3"/>
        </w:numPr>
        <w:rPr>
          <w:rFonts w:ascii="Courier New" w:hAnsi="Courier New" w:cs="Courier New"/>
        </w:rPr>
      </w:pPr>
      <w:r>
        <w:rPr>
          <w:rFonts w:cs="Courier New" w:ascii="Courier New" w:hAnsi="Courier New"/>
        </w:rPr>
        <w:t>Avista Energy desires a judicial determination of the parties’ respective rights and legal relations, pursuant to 28 U.S.C. section 2201, and a declaration that it is entitled to receive back the charge-back amounts it has paid to the CalPX (in the amount of at least $1,287,301); the additional charge</w:t>
        <w:noBreakHyphen/>
        <w:t xml:space="preserve">back notices the CalPX has informed Avista Energy it will be issuing to it are unauthorized and wrongful; Avista Energy should not to be assessed any additional charge-backs on account of any past or future defaults of SCE, PG&amp;E and/or other market participants; and all amounts received for SCE’s and PG&amp;E’s Block-Forward Market contracts must be held in constructive trust for the other CalPX market participants, and the value of those contracts must be offset against the charge-backs being issued to CalPX participants.  Such a declaration is necessary and appropriate at this time so that the parties may ascertain their rights and duties with respect to each other and concerning the above conflicting claims.  </w:t>
      </w:r>
    </w:p>
    <w:p>
      <w:pPr>
        <w:pStyle w:val="Heading"/>
        <w:keepNext w:val="true"/>
        <w:rPr>
          <w:rFonts w:ascii="Courier New" w:hAnsi="Courier New" w:cs="Courier New"/>
          <w:u w:val="single"/>
        </w:rPr>
      </w:pPr>
      <w:r>
        <w:rPr>
          <w:rFonts w:cs="Courier New" w:ascii="Courier New" w:hAnsi="Courier New"/>
          <w:u w:val="single"/>
        </w:rPr>
        <w:t>SEVENTH CLAIM FOR RELIEF</w:t>
      </w:r>
    </w:p>
    <w:p>
      <w:pPr>
        <w:pStyle w:val="CenterTitle"/>
        <w:rPr>
          <w:rFonts w:ascii="Courier New" w:hAnsi="Courier New" w:cs="Courier New"/>
        </w:rPr>
      </w:pPr>
      <w:r>
        <w:rPr>
          <w:rFonts w:cs="Courier New" w:ascii="Courier New" w:hAnsi="Courier New"/>
        </w:rPr>
        <w:t>(For Injunctive Relief)</w:t>
      </w:r>
    </w:p>
    <w:p>
      <w:pPr>
        <w:pStyle w:val="BodyText1"/>
        <w:numPr>
          <w:ilvl w:val="0"/>
          <w:numId w:val="3"/>
        </w:numPr>
        <w:rPr>
          <w:rFonts w:ascii="Courier New" w:hAnsi="Courier New" w:cs="Courier New"/>
        </w:rPr>
      </w:pPr>
      <w:r>
        <w:rPr>
          <w:rFonts w:cs="Courier New" w:ascii="Courier New" w:hAnsi="Courier New"/>
        </w:rPr>
        <w:t xml:space="preserve">Plaintiff realleges and incorporates herein by reference each and every allegation contained in paragraphs 1 through and including 57 of this complaint.  </w:t>
      </w:r>
    </w:p>
    <w:p>
      <w:pPr>
        <w:pStyle w:val="BodyText1"/>
        <w:numPr>
          <w:ilvl w:val="0"/>
          <w:numId w:val="3"/>
        </w:numPr>
        <w:rPr>
          <w:rFonts w:ascii="Courier New" w:hAnsi="Courier New" w:cs="Courier New"/>
        </w:rPr>
      </w:pPr>
      <w:r>
        <w:rPr>
          <w:rFonts w:cs="Courier New" w:ascii="Courier New" w:hAnsi="Courier New"/>
        </w:rPr>
        <w:t xml:space="preserve">Avista Energy will have no remedy in money damages against the CalPX for the improper charge-back amounts it is being required to pay.  First, the CalPX is a nonprofit entity merely serving as a clearinghouse.  It has no substantial assets.  Second, the CalPX is expected to be out of business imminently; it suspended its Core Market operations effective January 31, 2001.  Third, the charge-back amounts being paid to the CalPX are purportedly being collected to pay outstanding obligations, </w:t>
      </w:r>
      <w:r>
        <w:rPr>
          <w:rFonts w:cs="Courier New" w:ascii="Courier New" w:hAnsi="Courier New"/>
          <w:i/>
        </w:rPr>
        <w:t>i.e</w:t>
      </w:r>
      <w:r>
        <w:rPr>
          <w:rFonts w:cs="Courier New" w:ascii="Courier New" w:hAnsi="Courier New"/>
        </w:rPr>
        <w:t>., to pay CalPX creditors (sellers of energy through the CalPX that are owed money for those transactions).  (CalPX Tariff, Complaint Exh. 1, at Schedule 2, § 5.2.)  Accordingly, any charge-back amounts paid by Avista Energy will immediately be paid out by the CalPX to third parties.  Finally, numerous other market participants have claims against CalPX similar to those enumerated in this Complaint.</w:t>
      </w:r>
    </w:p>
    <w:p>
      <w:pPr>
        <w:pStyle w:val="BodyText1"/>
        <w:numPr>
          <w:ilvl w:val="0"/>
          <w:numId w:val="3"/>
        </w:numPr>
        <w:rPr>
          <w:rFonts w:ascii="Courier New" w:hAnsi="Courier New" w:cs="Courier New"/>
        </w:rPr>
      </w:pPr>
      <w:r>
        <w:rPr>
          <w:rFonts w:cs="Courier New" w:ascii="Courier New" w:hAnsi="Courier New"/>
        </w:rPr>
        <w:t xml:space="preserve">If Avista Energy does not pay the charge-back amounts wrongfully assessed by the CalPX, the CalPX will proceed against Avista Energy’s letter of credit, which could unduly harm Avista Energy’s business relationships and reputation.  The amount of money damages that would adequately compensate Avista Energy for such injuries are not easily calculable.  </w:t>
      </w:r>
    </w:p>
    <w:p>
      <w:pPr>
        <w:pStyle w:val="BodyText1"/>
        <w:numPr>
          <w:ilvl w:val="0"/>
          <w:numId w:val="3"/>
        </w:numPr>
        <w:rPr>
          <w:rFonts w:ascii="Courier New" w:hAnsi="Courier New" w:cs="Courier New"/>
        </w:rPr>
      </w:pPr>
      <w:r>
        <w:rPr>
          <w:rFonts w:cs="Courier New" w:ascii="Courier New" w:hAnsi="Courier New"/>
        </w:rPr>
        <w:t>In addition, it is premature for the CalPX to proceed with additional charge-backs until it has exhausted the security it claims it has for SCE’s and PG&amp;E’s defaults — including (i) the SCE and PG&amp;E Block-Forward Market contracts (by receipt of the compensation for those contracts which have been seized by the state, and offset of those amounts against SCE’s and PG&amp;E’s defaulted obligations), and (ii) the pool performance bond.  Furthermore, any attempt by CalPX to draw upon Avista Energy’s letter of credit would constitute the tort of conversion.</w:t>
      </w:r>
    </w:p>
    <w:p>
      <w:pPr>
        <w:pStyle w:val="BodyText1"/>
        <w:numPr>
          <w:ilvl w:val="0"/>
          <w:numId w:val="3"/>
        </w:numPr>
        <w:rPr>
          <w:rFonts w:ascii="Courier New" w:hAnsi="Courier New" w:cs="Courier New"/>
        </w:rPr>
      </w:pPr>
      <w:r>
        <w:rPr>
          <w:rFonts w:cs="Courier New" w:ascii="Courier New" w:hAnsi="Courier New"/>
        </w:rPr>
        <w:t xml:space="preserve">Failure to enjoin the CalPX from collecting additional charge-back amounts also will lead to a multiplicity of litigation, as the CalPX participants who pay the wrongful charge-backs, and are unable to recover them from the CalPX, will have to proceed against third parties who receive the funds, other CalPX participants, and/or the defaulting SCE and PG&amp;E (which are insolvent).  </w:t>
      </w:r>
    </w:p>
    <w:p>
      <w:pPr>
        <w:pStyle w:val="BodyText1"/>
        <w:numPr>
          <w:ilvl w:val="0"/>
          <w:numId w:val="3"/>
        </w:numPr>
        <w:rPr>
          <w:rFonts w:ascii="Courier New" w:hAnsi="Courier New" w:cs="Courier New"/>
        </w:rPr>
      </w:pPr>
      <w:r>
        <w:rPr>
          <w:rFonts w:cs="Courier New" w:ascii="Courier New" w:hAnsi="Courier New"/>
        </w:rPr>
        <w:t xml:space="preserve">For all of these reasons, the CalPX should be enjoined from issuing any additional charge-back notices to Avista Energy resulting from SCE’s, PG&amp;E’s or other CalPX participants’ defaults; taking any action to collect on any charge-back notices previously issued to Avista Energy, including offsetting amounts otherwise due to Avista Energy or its affiliates based upon a charge-back notice; taking any action to draw down, liquidate, transfer, assign or call upon any collateral posted by Avista Energy (including its letter of credit); requiring Avista Energy to post any additional security of any kind; and failing or refusing to institute legal proceedings against the primary defaulting participants respecting charge-back notices, including SCE and PG&amp;E.  </w:t>
      </w:r>
    </w:p>
    <w:p>
      <w:pPr>
        <w:pStyle w:val="Heading"/>
        <w:keepNext w:val="true"/>
        <w:rPr>
          <w:rFonts w:ascii="Courier New" w:hAnsi="Courier New" w:cs="Courier New"/>
          <w:u w:val="single"/>
        </w:rPr>
      </w:pPr>
      <w:r>
        <w:rPr>
          <w:rFonts w:cs="Courier New" w:ascii="Courier New" w:hAnsi="Courier New"/>
          <w:u w:val="single"/>
        </w:rPr>
        <w:t>EIGHTH cLAIM FOR RELIEF</w:t>
      </w:r>
    </w:p>
    <w:p>
      <w:pPr>
        <w:pStyle w:val="CenterTitle"/>
        <w:rPr>
          <w:rFonts w:ascii="Courier New" w:hAnsi="Courier New" w:cs="Courier New"/>
        </w:rPr>
      </w:pPr>
      <w:r>
        <w:rPr>
          <w:rFonts w:cs="Courier New" w:ascii="Courier New" w:hAnsi="Courier New"/>
        </w:rPr>
        <w:t>(For an Accounting)</w:t>
      </w:r>
    </w:p>
    <w:p>
      <w:pPr>
        <w:pStyle w:val="BodyText1"/>
        <w:numPr>
          <w:ilvl w:val="0"/>
          <w:numId w:val="3"/>
        </w:numPr>
        <w:rPr>
          <w:rFonts w:ascii="Courier New" w:hAnsi="Courier New" w:cs="Courier New"/>
        </w:rPr>
      </w:pPr>
      <w:r>
        <w:rPr>
          <w:rFonts w:cs="Courier New" w:ascii="Courier New" w:hAnsi="Courier New"/>
        </w:rPr>
        <w:t xml:space="preserve">Plaintiff realleges and incorporates herein by reference each and every allegation contained in paragraphs 1 through and including 63 of this complaint.  </w:t>
      </w:r>
    </w:p>
    <w:p>
      <w:pPr>
        <w:pStyle w:val="BodyText1"/>
        <w:numPr>
          <w:ilvl w:val="0"/>
          <w:numId w:val="3"/>
        </w:numPr>
        <w:rPr>
          <w:rFonts w:ascii="Courier New" w:hAnsi="Courier New" w:cs="Courier New"/>
        </w:rPr>
      </w:pPr>
      <w:r>
        <w:rPr>
          <w:rFonts w:cs="Courier New" w:ascii="Courier New" w:hAnsi="Courier New"/>
        </w:rPr>
        <w:t xml:space="preserve">Based on the foregoing breaches of contract and of fiduciary duty, the CalPX should be required to account to Avista Energy for all funds that it has collected from Avista Energy and/or amounts received as compensation for the SCE and PG&amp;E Block-Forward Market contracts for the benefit of participants, and all amounts that are owed to Avista Energy.  </w:t>
      </w:r>
    </w:p>
    <w:p>
      <w:pPr>
        <w:pStyle w:val="CenterTitle"/>
        <w:rPr>
          <w:rFonts w:ascii="Courier New" w:hAnsi="Courier New" w:cs="Courier New"/>
        </w:rPr>
      </w:pPr>
      <w:r>
        <w:rPr>
          <w:rFonts w:cs="Courier New" w:ascii="Courier New" w:hAnsi="Courier New"/>
        </w:rPr>
        <w:t>PRAYER</w:t>
      </w:r>
    </w:p>
    <w:p>
      <w:pPr>
        <w:pStyle w:val="BodyText"/>
        <w:rPr>
          <w:rFonts w:ascii="Courier New" w:hAnsi="Courier New" w:cs="Courier New"/>
        </w:rPr>
      </w:pPr>
      <w:r>
        <w:rPr>
          <w:rFonts w:cs="Courier New" w:ascii="Courier New" w:hAnsi="Courier New"/>
        </w:rPr>
        <w:t>WHEREFORE, plaintiff Avista Energy prays for judgment as follows:</w:t>
      </w:r>
    </w:p>
    <w:p>
      <w:pPr>
        <w:pStyle w:val="BodyTexta"/>
        <w:numPr>
          <w:ilvl w:val="0"/>
          <w:numId w:val="2"/>
        </w:numPr>
        <w:rPr>
          <w:rFonts w:ascii="Courier New" w:hAnsi="Courier New" w:cs="Courier New"/>
        </w:rPr>
      </w:pPr>
      <w:r>
        <w:rPr>
          <w:rFonts w:cs="Courier New" w:ascii="Courier New" w:hAnsi="Courier New"/>
        </w:rPr>
        <w:t>On its first claim for relief, for damages in the amount of at least $1,287,301, plus interest thereon at the legal rate, or according to proof at trial;</w:t>
      </w:r>
    </w:p>
    <w:p>
      <w:pPr>
        <w:pStyle w:val="BodyTexta"/>
        <w:numPr>
          <w:ilvl w:val="0"/>
          <w:numId w:val="2"/>
        </w:numPr>
        <w:rPr>
          <w:rFonts w:ascii="Courier New" w:hAnsi="Courier New" w:cs="Courier New"/>
        </w:rPr>
      </w:pPr>
      <w:r>
        <w:rPr>
          <w:rFonts w:cs="Courier New" w:ascii="Courier New" w:hAnsi="Courier New"/>
        </w:rPr>
        <w:t>On its second claim for relief, for damages in the amount of at least $1,287,301, plus interest thereon at the legal rate, or according to proof at trial;</w:t>
      </w:r>
    </w:p>
    <w:p>
      <w:pPr>
        <w:pStyle w:val="BodyTexta"/>
        <w:numPr>
          <w:ilvl w:val="0"/>
          <w:numId w:val="2"/>
        </w:numPr>
        <w:rPr>
          <w:rFonts w:ascii="Courier New" w:hAnsi="Courier New" w:cs="Courier New"/>
        </w:rPr>
      </w:pPr>
      <w:r>
        <w:rPr>
          <w:rFonts w:cs="Courier New" w:ascii="Courier New" w:hAnsi="Courier New"/>
        </w:rPr>
        <w:t xml:space="preserve">On its third claim for relief, for damages in the amount of at least $1,287,301, plus interest thereon at the legal rate, and punitive damages in an amount to be determined at trial;  </w:t>
      </w:r>
    </w:p>
    <w:p>
      <w:pPr>
        <w:pStyle w:val="BodyTexta"/>
        <w:numPr>
          <w:ilvl w:val="0"/>
          <w:numId w:val="2"/>
        </w:numPr>
        <w:rPr>
          <w:rFonts w:ascii="Courier New" w:hAnsi="Courier New" w:cs="Courier New"/>
        </w:rPr>
      </w:pPr>
      <w:r>
        <w:rPr>
          <w:rFonts w:cs="Courier New" w:ascii="Courier New" w:hAnsi="Courier New"/>
        </w:rPr>
        <w:t xml:space="preserve">On its fourth claim for relief, for the return of at least $1,287,301 converted by CalPX, plus interest thereon and consequential damages, and punitive damages in an amount to be determined at trial;  </w:t>
      </w:r>
    </w:p>
    <w:p>
      <w:pPr>
        <w:pStyle w:val="BodyTexta"/>
        <w:numPr>
          <w:ilvl w:val="0"/>
          <w:numId w:val="2"/>
        </w:numPr>
        <w:rPr>
          <w:rFonts w:ascii="Courier New" w:hAnsi="Courier New" w:cs="Courier New"/>
        </w:rPr>
      </w:pPr>
      <w:r>
        <w:rPr>
          <w:rFonts w:cs="Courier New" w:ascii="Courier New" w:hAnsi="Courier New"/>
        </w:rPr>
        <w:t xml:space="preserve">On its fifth claim for relief, for imposition of a constructive trust on the amount of charge-backs the CalPX has obtained from Avista Energy, as well as the proceeds of the SCE and PG&amp;E Block-Forward Market contracts, for the benefit of Avista Energy and the other non-defaulting CalPX market participants, as well as an accounting of all said amounts received by the CalPX;  </w:t>
      </w:r>
    </w:p>
    <w:p>
      <w:pPr>
        <w:pStyle w:val="BodyTexta"/>
        <w:numPr>
          <w:ilvl w:val="0"/>
          <w:numId w:val="2"/>
        </w:numPr>
        <w:rPr>
          <w:rFonts w:ascii="Courier New" w:hAnsi="Courier New" w:cs="Courier New"/>
        </w:rPr>
      </w:pPr>
      <w:r>
        <w:rPr>
          <w:rFonts w:cs="Courier New" w:ascii="Courier New" w:hAnsi="Courier New"/>
        </w:rPr>
        <w:t xml:space="preserve">On its sixth claim for relief, for a judicial determination of the parties’ rights and legal relations with respect to each other concerning the Participation Agreement, and specifically a declaration that plaintiff is entitled to receive back the charge-back amounts it has paid to the CalPX (in the amount of at least $1,287,301); the additional charge-back notices the CalPX has informed Avista Energy it will be issuing to it are unauthorized and wrongful; Avista Energy should not be assessed any additional charge-backs on account of any past or future defaults of SCE, PG&amp;E and/or other market participants; and all amounts received for SCE’s and PG&amp;E’s Block-Forward Market contracts must be held in constructive trust for the other CalPX market participants, and the value of those contracts must be offset against the charge-backs being issued to CalPX participants;  </w:t>
      </w:r>
    </w:p>
    <w:p>
      <w:pPr>
        <w:pStyle w:val="BodyTexta"/>
        <w:numPr>
          <w:ilvl w:val="0"/>
          <w:numId w:val="2"/>
        </w:numPr>
        <w:rPr>
          <w:rFonts w:ascii="Courier New" w:hAnsi="Courier New" w:cs="Courier New"/>
        </w:rPr>
      </w:pPr>
      <w:r>
        <w:rPr>
          <w:rFonts w:cs="Courier New" w:ascii="Courier New" w:hAnsi="Courier New"/>
        </w:rPr>
        <w:t>On its seventh claim for relief, for temporary, preliminary, and permanent injunctive relief enjoining the CalPX from issuing any additional charge-back notices to Avista Energy resulting from SCE’s, PG&amp;E’s or other CalPX participants’ defaults; taking any action to collect on any charge-back notices previously issued to Avista Energy, including offsetting amounts otherwise due to Avista Energy or its affiliates based upon a charge-back notice; taking any action to draw down, liquidate, transfer, assign or call upon any collateral posted by Avista Energy (including its letter of credit); requiring Avista Energy to post any additional security of any kind; and failing or refusing to institute legal proceedings against the primary defaulting participants respecting charge-back notices, including SCE and PG&amp;E;</w:t>
      </w:r>
    </w:p>
    <w:p>
      <w:pPr>
        <w:pStyle w:val="BodyTexta"/>
        <w:numPr>
          <w:ilvl w:val="0"/>
          <w:numId w:val="2"/>
        </w:numPr>
        <w:rPr>
          <w:rFonts w:ascii="Courier New" w:hAnsi="Courier New" w:cs="Courier New"/>
        </w:rPr>
      </w:pPr>
      <w:r>
        <w:rPr>
          <w:rFonts w:cs="Courier New" w:ascii="Courier New" w:hAnsi="Courier New"/>
        </w:rPr>
        <w:t xml:space="preserve">On its eighth claim for relief, for an accounting to Avista Energy for all funds that the CalPX has collected from Avista Energy and/or amounts received as compensation for the SCE and PG&amp;E Block-Forward Market contracts for the benefit of participants, and all amounts that are owed to Avista Energy;  </w:t>
      </w:r>
    </w:p>
    <w:p>
      <w:pPr>
        <w:pStyle w:val="BodyTexta"/>
        <w:numPr>
          <w:ilvl w:val="0"/>
          <w:numId w:val="2"/>
        </w:numPr>
        <w:rPr>
          <w:rFonts w:ascii="Courier New" w:hAnsi="Courier New" w:cs="Courier New"/>
        </w:rPr>
      </w:pPr>
      <w:r>
        <w:rPr>
          <w:rFonts w:cs="Courier New" w:ascii="Courier New" w:hAnsi="Courier New"/>
        </w:rPr>
        <w:t xml:space="preserve">For its costs and expenses of suit incurred herein, including reasonable attorneys’ fees; and </w:t>
      </w:r>
    </w:p>
    <w:p>
      <w:pPr>
        <w:pStyle w:val="BodyTexta"/>
        <w:keepNext w:val="true"/>
        <w:numPr>
          <w:ilvl w:val="0"/>
          <w:numId w:val="2"/>
        </w:numPr>
        <w:rPr>
          <w:rFonts w:ascii="Courier New" w:hAnsi="Courier New" w:cs="Courier New"/>
        </w:rPr>
      </w:pPr>
      <w:r>
        <w:rPr>
          <w:rFonts w:cs="Courier New" w:ascii="Courier New" w:hAnsi="Courier New"/>
        </w:rPr>
        <w:t xml:space="preserve">For such other, further and different relief as this Court may deem just and reasonable.  </w:t>
      </w:r>
    </w:p>
    <w:p>
      <w:pPr>
        <w:pStyle w:val="ClientIndented"/>
        <w:ind w:start="4680" w:end="0"/>
        <w:rPr>
          <w:rFonts w:ascii="Courier New" w:hAnsi="Courier New" w:cs="Courier New"/>
          <w:spacing w:val="0"/>
        </w:rPr>
      </w:pPr>
      <w:r>
        <w:rPr>
          <w:rFonts w:cs="Courier New" w:ascii="Courier New" w:hAnsi="Courier New"/>
          <w:spacing w:val="0"/>
        </w:rPr>
      </w:r>
    </w:p>
    <w:p>
      <w:pPr>
        <w:pStyle w:val="Date"/>
        <w:ind w:start="0" w:end="0"/>
        <w:rPr/>
      </w:pPr>
      <w:r>
        <w:rPr>
          <w:rFonts w:cs="Courier New" w:ascii="Courier New" w:hAnsi="Courier New"/>
          <w:caps/>
          <w:spacing w:val="0"/>
        </w:rPr>
        <w:t>Dated</w:t>
      </w:r>
      <w:r>
        <w:rPr>
          <w:rFonts w:cs="Courier New" w:ascii="Courier New" w:hAnsi="Courier New"/>
          <w:spacing w:val="0"/>
        </w:rPr>
        <w:t>:  February 7, 2001</w:t>
        <w:tab/>
        <w:tab/>
        <w:t xml:space="preserve">MORRISON &amp; FOERSTER </w:t>
      </w:r>
      <w:r>
        <w:rPr>
          <w:rFonts w:cs="Courier New" w:ascii="Courier New" w:hAnsi="Courier New"/>
          <w:smallCaps/>
          <w:spacing w:val="0"/>
          <w:sz w:val="18"/>
        </w:rPr>
        <w:t>llp</w:t>
        <w:br/>
        <w:tab/>
        <w:tab/>
        <w:tab/>
        <w:tab/>
        <w:tab/>
      </w:r>
      <w:r>
        <w:rPr>
          <w:rFonts w:cs="Courier New" w:ascii="Courier New" w:hAnsi="Courier New"/>
          <w:caps/>
          <w:spacing w:val="0"/>
        </w:rPr>
        <w:t>gordon p. erspamer</w:t>
        <w:br/>
        <w:tab/>
        <w:tab/>
        <w:tab/>
        <w:tab/>
        <w:tab/>
        <w:t>diane E. Pritchard</w:t>
        <w:br/>
        <w:br/>
        <w:br/>
      </w:r>
    </w:p>
    <w:p>
      <w:pPr>
        <w:pStyle w:val="SignatureBlock"/>
        <w:rPr/>
      </w:pPr>
      <w:r>
        <w:rPr>
          <w:rFonts w:cs="Courier New" w:ascii="Courier New" w:hAnsi="Courier New"/>
          <w:spacing w:val="0"/>
        </w:rPr>
        <w:t>By</w:t>
      </w:r>
      <w:r>
        <w:rPr>
          <w:rFonts w:cs="Courier New" w:ascii="Courier New" w:hAnsi="Courier New"/>
          <w:spacing w:val="0"/>
          <w:u w:val="single"/>
        </w:rPr>
        <w:tab/>
      </w:r>
    </w:p>
    <w:p>
      <w:pPr>
        <w:pStyle w:val="ClientIndented"/>
        <w:ind w:start="4680" w:end="0"/>
        <w:rPr>
          <w:rFonts w:ascii="Courier New" w:hAnsi="Courier New" w:cs="Courier New"/>
          <w:spacing w:val="0"/>
        </w:rPr>
      </w:pPr>
      <w:r>
        <w:rPr>
          <w:rFonts w:cs="Courier New" w:ascii="Courier New" w:hAnsi="Courier New"/>
          <w:spacing w:val="0"/>
        </w:rPr>
        <w:t>Diane E. Pritchard</w:t>
      </w:r>
    </w:p>
    <w:p>
      <w:pPr>
        <w:pStyle w:val="ClientIndented"/>
        <w:ind w:start="4680" w:end="0"/>
        <w:rPr>
          <w:rFonts w:ascii="Courier New" w:hAnsi="Courier New" w:cs="Courier New"/>
          <w:spacing w:val="0"/>
        </w:rPr>
      </w:pPr>
      <w:r>
        <w:rPr>
          <w:rFonts w:cs="Courier New" w:ascii="Courier New" w:hAnsi="Courier New"/>
          <w:spacing w:val="0"/>
        </w:rPr>
        <w:br/>
        <w:t>Attorneys for Plaintiff</w:t>
      </w:r>
    </w:p>
    <w:p>
      <w:pPr>
        <w:pStyle w:val="ClientIndented"/>
        <w:ind w:start="4680" w:end="0"/>
        <w:rPr>
          <w:rFonts w:ascii="Courier New" w:hAnsi="Courier New" w:cs="Courier New"/>
          <w:caps/>
          <w:spacing w:val="0"/>
        </w:rPr>
      </w:pPr>
      <w:r>
        <w:rPr>
          <w:rFonts w:cs="Courier New" w:ascii="Courier New" w:hAnsi="Courier New"/>
          <w:caps/>
          <w:spacing w:val="0"/>
        </w:rPr>
        <w:t>AVISTA ENERGY, INC.</w:t>
      </w:r>
    </w:p>
    <w:p>
      <w:pPr>
        <w:pStyle w:val="ClientIndented"/>
        <w:ind w:start="4680" w:end="0"/>
        <w:rPr>
          <w:rFonts w:ascii="Courier New" w:hAnsi="Courier New" w:cs="Courier New"/>
          <w:caps/>
          <w:spacing w:val="0"/>
        </w:rPr>
      </w:pPr>
      <w:r>
        <w:rPr>
          <w:rFonts w:cs="Courier New" w:ascii="Courier New" w:hAnsi="Courier New"/>
          <w:caps/>
          <w:spacing w:val="0"/>
        </w:rPr>
      </w:r>
    </w:p>
    <w:p>
      <w:pPr>
        <w:pStyle w:val="Normal"/>
        <w:keepNext w:val="true"/>
        <w:ind w:end="1872"/>
        <w:jc w:val="center"/>
        <w:rPr>
          <w:rFonts w:ascii="Courier New" w:hAnsi="Courier New" w:cs="Courier New"/>
          <w:spacing w:val="0"/>
        </w:rPr>
      </w:pPr>
      <w:r>
        <w:rPr>
          <w:rFonts w:cs="Courier New" w:ascii="Courier New" w:hAnsi="Courier New"/>
          <w:spacing w:val="0"/>
        </w:rPr>
      </w:r>
    </w:p>
    <w:p>
      <w:pPr>
        <w:pStyle w:val="Normal"/>
        <w:ind w:end="-18"/>
        <w:jc w:val="center"/>
        <w:rPr>
          <w:rFonts w:ascii="Courier New" w:hAnsi="Courier New" w:cs="Courier New"/>
          <w:spacing w:val="0"/>
        </w:rPr>
      </w:pPr>
      <w:r>
        <w:rPr>
          <w:rFonts w:cs="Courier New" w:ascii="Courier New" w:hAnsi="Courier New"/>
          <w:spacing w:val="0"/>
        </w:rPr>
      </w:r>
    </w:p>
    <w:sectPr>
      <w:headerReference w:type="default" r:id="rId2"/>
      <w:headerReference w:type="first" r:id="rId3"/>
      <w:footerReference w:type="default" r:id="rId4"/>
      <w:footerReference w:type="first" r:id="rId5"/>
      <w:type w:val="nextPage"/>
      <w:pgSz w:w="12240" w:h="15840"/>
      <w:pgMar w:left="2088" w:right="720" w:gutter="0" w:header="475" w:top="1267" w:footer="504" w:bottom="132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center" w:pos="7920" w:leader="none"/>
        <w:tab w:val="right" w:pos="8640" w:leader="none"/>
      </w:tabs>
      <w:rPr>
        <w:rStyle w:val="PageNumber"/>
        <w:rFonts w:ascii="Courier New" w:hAnsi="Courier New" w:cs="Courier New"/>
        <w:sz w:val="20"/>
      </w:rPr>
    </w:pPr>
    <w:r>
      <w:rPr>
        <w:rStyle w:val="PageNumber"/>
        <w:rFonts w:cs="Courier New" w:ascii="Courier New" w:hAnsi="Courier New"/>
        <w:sz w:val="20"/>
      </w:rPr>
      <w:t>Complaint</w:t>
      <w:tab/>
    </w: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24</w:t>
    </w:r>
    <w:r>
      <w:rPr>
        <w:rStyle w:val="PageNumber"/>
        <w:rFonts w:cs="Courier New" w:ascii="Courier New" w:hAnsi="Courier New"/>
      </w:rPr>
      <w:fldChar w:fldCharType="end"/>
    </w:r>
  </w:p>
  <w:p>
    <w:pPr>
      <w:pStyle w:val="Footer"/>
      <w:tabs>
        <w:tab w:val="clear" w:pos="4320"/>
        <w:tab w:val="center" w:pos="4680" w:leader="none"/>
        <w:tab w:val="center" w:pos="7920" w:leader="none"/>
        <w:tab w:val="right" w:pos="8640" w:leader="none"/>
      </w:tabs>
      <w:rPr/>
    </w:pPr>
    <w:r>
      <w:rPr>
        <w:rStyle w:val="PageNumber"/>
        <w:rFonts w:cs="Courier New" w:ascii="Courier New" w:hAnsi="Courier New"/>
        <w:sz w:val="20"/>
      </w:rPr>
      <w:t>SF-1045518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rFonts w:ascii="Courier New" w:hAnsi="Courier New" w:cs="Courier New"/>
        <w:sz w:val="20"/>
      </w:rPr>
    </w:pPr>
    <w:r>
      <w:rPr>
        <w:rFonts w:cs="Courier New" w:ascii="Courier New" w:hAnsi="Courier New"/>
        <w:sz w:val="20"/>
      </w:rPr>
      <w:t>Complaint</w:t>
    </w:r>
  </w:p>
  <w:p>
    <w:pPr>
      <w:pStyle w:val="Footer"/>
      <w:spacing w:lineRule="atLeast" w:line="1"/>
      <w:rPr/>
    </w:pPr>
    <w:r>
      <w:rPr>
        <w:rFonts w:cs="Courier New" w:ascii="Courier New" w:hAnsi="Courier New"/>
        <w:vanish/>
        <w:sz w:val="20"/>
      </w:rPr>
      <w:t>|</w:t>
    </w:r>
    <w:r>
      <w:rPr>
        <w:rFonts w:cs="Courier New" w:ascii="Courier New" w:hAnsi="Courier New"/>
        <w:sz w:val="20"/>
      </w:rPr>
      <w:t>sf-1045518</w:t>
    </w:r>
    <w:r>
      <w:rPr>
        <w:rFonts w:cs="Courier New" w:ascii="Courier New" w:hAnsi="Courier New"/>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4">
              <wp:simplePos x="0" y="0"/>
              <wp:positionH relativeFrom="column">
                <wp:align>left</wp:align>
              </wp:positionH>
              <wp:positionV relativeFrom="line">
                <wp:posOffset>635</wp:posOffset>
              </wp:positionV>
              <wp:extent cx="6560820" cy="9448800"/>
              <wp:effectExtent l="0" t="0" r="0" b="0"/>
              <wp:wrapNone/>
              <wp:docPr id="1" name="Frame2"/>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8" w:name="LineNo"/>
                                <w:bookmarkEnd w:id="8"/>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9" w:name="LineNo"/>
                          <w:bookmarkEnd w:id="9"/>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5">
              <wp:simplePos x="0" y="0"/>
              <wp:positionH relativeFrom="column">
                <wp:align>left</wp:align>
              </wp:positionH>
              <wp:positionV relativeFrom="line">
                <wp:posOffset>635</wp:posOffset>
              </wp:positionV>
              <wp:extent cx="6560820" cy="9448800"/>
              <wp:effectExtent l="0" t="0" r="0" b="0"/>
              <wp:wrapNone/>
              <wp:docPr id="2" name="Frame1"/>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1440" w:hanging="360"/>
      </w:pPr>
    </w:lvl>
    <w:lvl w:ilvl="1">
      <w:start w:val="1"/>
      <w:pStyle w:val="Heading2"/>
      <w:numFmt w:val="upperLetter"/>
      <w:lvlText w:val="%2."/>
      <w:lvlJc w:val="start"/>
      <w:pPr>
        <w:tabs>
          <w:tab w:val="num" w:pos="360"/>
        </w:tabs>
        <w:ind w:start="2160" w:hanging="360"/>
      </w:pPr>
    </w:lvl>
    <w:lvl w:ilvl="2">
      <w:start w:val="1"/>
      <w:pStyle w:val="Heading3"/>
      <w:numFmt w:val="decimal"/>
      <w:lvlText w:val="%3."/>
      <w:lvlJc w:val="start"/>
      <w:pPr>
        <w:tabs>
          <w:tab w:val="num" w:pos="360"/>
        </w:tabs>
        <w:ind w:start="2880" w:hanging="360"/>
      </w:pPr>
    </w:lvl>
    <w:lvl w:ilvl="3">
      <w:start w:val="1"/>
      <w:pStyle w:val="Heading4"/>
      <w:numFmt w:val="lowerLetter"/>
      <w:lvlText w:val="%4."/>
      <w:lvlJc w:val="start"/>
      <w:pPr>
        <w:tabs>
          <w:tab w:val="num" w:pos="360"/>
        </w:tabs>
        <w:ind w:start="3600" w:hanging="360"/>
      </w:pPr>
    </w:lvl>
    <w:lvl w:ilvl="4">
      <w:start w:val="1"/>
      <w:pStyle w:val="Heading5"/>
      <w:numFmt w:val="lowerRoman"/>
      <w:lvlText w:val="%5."/>
      <w:lvlJc w:val="start"/>
      <w:pPr>
        <w:tabs>
          <w:tab w:val="num" w:pos="360"/>
        </w:tabs>
        <w:ind w:start="4320" w:hanging="360"/>
      </w:pPr>
    </w:lvl>
    <w:lvl w:ilvl="5">
      <w:start w:val="1"/>
      <w:pStyle w:val="Heading6"/>
      <w:numFmt w:val="lowerLetter"/>
      <w:lvlText w:val="(%6)"/>
      <w:lvlJc w:val="start"/>
      <w:pPr>
        <w:tabs>
          <w:tab w:val="num" w:pos="360"/>
        </w:tabs>
        <w:ind w:start="3240" w:hanging="360"/>
      </w:pPr>
    </w:lvl>
    <w:lvl w:ilvl="6">
      <w:start w:val="1"/>
      <w:pStyle w:val="Heading7"/>
      <w:numFmt w:val="lowerRoman"/>
      <w:lvlText w:val="(%7)"/>
      <w:lvlJc w:val="start"/>
      <w:pPr>
        <w:tabs>
          <w:tab w:val="num" w:pos="360"/>
        </w:tabs>
        <w:ind w:start="3600" w:hanging="360"/>
      </w:pPr>
    </w:lvl>
    <w:lvl w:ilvl="7">
      <w:start w:val="1"/>
      <w:pStyle w:val="Heading8"/>
      <w:numFmt w:val="lowerLetter"/>
      <w:lvlText w:val="(%8)"/>
      <w:lvlJc w:val="start"/>
      <w:pPr>
        <w:tabs>
          <w:tab w:val="num" w:pos="360"/>
        </w:tabs>
        <w:ind w:start="3960" w:hanging="360"/>
      </w:pPr>
    </w:lvl>
    <w:lvl w:ilvl="8">
      <w:start w:val="1"/>
      <w:pStyle w:val="Heading9"/>
      <w:numFmt w:val="lowerRoman"/>
      <w:lvlText w:val="(%9)"/>
      <w:lvlJc w:val="start"/>
      <w:pPr>
        <w:tabs>
          <w:tab w:val="num" w:pos="360"/>
        </w:tabs>
        <w:ind w:start="4320" w:hanging="360"/>
      </w:pPr>
    </w:lvl>
  </w:abstractNum>
  <w:abstractNum w:abstractNumId="2">
    <w:lvl w:ilvl="0">
      <w:start w:val="1"/>
      <w:numFmt w:val="lowerLetter"/>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lowerLetter"/>
      <w:lvlText w:val="(%1)"/>
      <w:lvlJc w:val="start"/>
      <w:pPr>
        <w:tabs>
          <w:tab w:val="num" w:pos="0"/>
        </w:tabs>
        <w:ind w:start="0" w:hanging="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pacing w:val="22"/>
      <w:sz w:val="24"/>
      <w:szCs w:val="20"/>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0" w:end="720"/>
      <w:outlineLvl w:val="0"/>
    </w:pPr>
    <w:rPr>
      <w:b/>
      <w:caps/>
    </w:rPr>
  </w:style>
  <w:style w:type="paragraph" w:styleId="Heading2">
    <w:name w:val="heading 2"/>
    <w:basedOn w:val="Heading1"/>
    <w:next w:val="BodyText"/>
    <w:qFormat/>
    <w:pPr>
      <w:numPr>
        <w:ilvl w:val="1"/>
        <w:numId w:val="1"/>
      </w:numPr>
      <w:ind w:hanging="720" w:start="0" w:end="720"/>
      <w:outlineLvl w:val="1"/>
    </w:pPr>
    <w:rPr>
      <w:caps w:val="false"/>
      <w:smallCaps w:val="false"/>
    </w:rPr>
  </w:style>
  <w:style w:type="paragraph" w:styleId="Heading3">
    <w:name w:val="heading 3"/>
    <w:basedOn w:val="Heading2"/>
    <w:next w:val="BodyText"/>
    <w:qFormat/>
    <w:pPr>
      <w:numPr>
        <w:ilvl w:val="2"/>
        <w:numId w:val="1"/>
      </w:numPr>
      <w:ind w:hanging="720" w:start="0" w:end="720"/>
      <w:outlineLvl w:val="2"/>
    </w:pPr>
    <w:rPr/>
  </w:style>
  <w:style w:type="paragraph" w:styleId="Heading4">
    <w:name w:val="heading 4"/>
    <w:basedOn w:val="Heading3"/>
    <w:next w:val="BodyText"/>
    <w:qFormat/>
    <w:pPr>
      <w:numPr>
        <w:ilvl w:val="3"/>
        <w:numId w:val="1"/>
      </w:numPr>
      <w:ind w:hanging="720" w:start="0" w:end="720"/>
      <w:outlineLvl w:val="3"/>
    </w:pPr>
    <w:rPr/>
  </w:style>
  <w:style w:type="paragraph" w:styleId="Heading5">
    <w:name w:val="heading 5"/>
    <w:basedOn w:val="Heading4"/>
    <w:next w:val="BodyText"/>
    <w:qFormat/>
    <w:pPr>
      <w:numPr>
        <w:ilvl w:val="4"/>
        <w:numId w:val="1"/>
      </w:numPr>
      <w:ind w:hanging="720" w:start="0" w:end="720"/>
      <w:outlineLvl w:val="4"/>
    </w:pPr>
    <w:rPr/>
  </w:style>
  <w:style w:type="paragraph" w:styleId="Heading6">
    <w:name w:val="heading 6"/>
    <w:basedOn w:val="Heading5"/>
    <w:next w:val="BodyText"/>
    <w:qFormat/>
    <w:pPr>
      <w:numPr>
        <w:ilvl w:val="5"/>
        <w:numId w:val="1"/>
      </w:numPr>
      <w:ind w:hanging="720" w:start="0" w:end="720"/>
      <w:outlineLvl w:val="5"/>
    </w:pPr>
    <w:rPr/>
  </w:style>
  <w:style w:type="paragraph" w:styleId="Heading7">
    <w:name w:val="heading 7"/>
    <w:basedOn w:val="Heading6"/>
    <w:next w:val="BodyText"/>
    <w:qFormat/>
    <w:pPr>
      <w:numPr>
        <w:ilvl w:val="6"/>
        <w:numId w:val="1"/>
      </w:numPr>
      <w:ind w:hanging="720" w:start="0" w:end="720"/>
      <w:outlineLvl w:val="6"/>
    </w:pPr>
    <w:rPr/>
  </w:style>
  <w:style w:type="paragraph" w:styleId="Heading8">
    <w:name w:val="heading 8"/>
    <w:basedOn w:val="Heading7"/>
    <w:next w:val="BodyText"/>
    <w:qFormat/>
    <w:pPr>
      <w:numPr>
        <w:ilvl w:val="7"/>
        <w:numId w:val="1"/>
      </w:numPr>
      <w:ind w:hanging="720" w:start="0" w:end="72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0" w:end="72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0"/>
      <w:jc w:val="center"/>
    </w:pPr>
    <w:rPr>
      <w:rFonts w:ascii="Times New Roman Bold" w:hAnsi="Times New Roman Bold" w:cs="Times New Roman Bold"/>
      <w:b/>
      <w:caps/>
      <w:spacing w:val="0"/>
      <w:kern w:val="2"/>
    </w:rPr>
  </w:style>
  <w:style w:type="paragraph" w:styleId="BodyText">
    <w:name w:val="Body Text"/>
    <w:basedOn w:val="Normal"/>
    <w:pPr>
      <w:spacing w:lineRule="exact" w:line="480"/>
      <w:ind w:firstLine="720" w:start="0" w:end="0"/>
      <w:jc w:val="both"/>
    </w:pPr>
    <w:rPr>
      <w:spacing w:val="0"/>
      <w:kern w:val="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Quote">
    <w:name w:val="Quote"/>
    <w:basedOn w:val="Normal"/>
    <w:next w:val="AfterQuote"/>
    <w:qFormat/>
    <w:pPr>
      <w:spacing w:lineRule="atLeast" w:line="240" w:before="240" w:after="0"/>
      <w:ind w:hanging="0" w:start="1440" w:end="1440"/>
      <w:jc w:val="both"/>
    </w:pPr>
    <w:rPr>
      <w:spacing w:val="0"/>
      <w:kern w:val="2"/>
    </w:rPr>
  </w:style>
  <w:style w:type="paragraph" w:styleId="TOAHeading">
    <w:name w:val="TOA Heading"/>
    <w:basedOn w:val="Normal"/>
    <w:next w:val="Normal"/>
    <w:qFormat/>
    <w:pPr>
      <w:spacing w:before="120" w:after="0"/>
    </w:pPr>
    <w:rPr>
      <w:b/>
    </w:rPr>
  </w:style>
  <w:style w:type="paragraph" w:styleId="FootnoteText">
    <w:name w:val="footnote text"/>
    <w:basedOn w:val="Normal"/>
    <w:pPr>
      <w:spacing w:before="240" w:after="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center" w:pos="7920" w:leader="none"/>
        <w:tab w:val="right" w:pos="8640" w:leader="none"/>
      </w:tabs>
    </w:pPr>
    <w:rPr>
      <w:spacing w:val="0"/>
    </w:rPr>
  </w:style>
  <w:style w:type="paragraph" w:styleId="SignatureBlock">
    <w:name w:val="Signature Block"/>
    <w:basedOn w:val="Normal"/>
    <w:qFormat/>
    <w:pPr>
      <w:keepNext w:val="true"/>
      <w:tabs>
        <w:tab w:val="clear" w:pos="720"/>
        <w:tab w:val="left" w:pos="8640" w:leader="none"/>
      </w:tabs>
      <w:ind w:hanging="0" w:start="4320" w:end="0"/>
    </w:pPr>
    <w:rPr/>
  </w:style>
  <w:style w:type="paragraph" w:styleId="HeaderNumbers">
    <w:name w:val="HeaderNumbers"/>
    <w:basedOn w:val="Normal"/>
    <w:qFormat/>
    <w:pPr>
      <w:spacing w:lineRule="exact" w:line="480" w:before="600" w:after="0"/>
      <w:ind w:hanging="0" w:start="0" w:end="144"/>
      <w:jc w:val="end"/>
    </w:pPr>
    <w:rPr/>
  </w:style>
  <w:style w:type="paragraph" w:styleId="TOC1">
    <w:name w:val="toc 1"/>
    <w:basedOn w:val="Normal"/>
    <w:next w:val="Normal"/>
    <w:pPr>
      <w:tabs>
        <w:tab w:val="clear" w:pos="720"/>
        <w:tab w:val="right" w:pos="9360" w:leader="dot"/>
      </w:tabs>
      <w:spacing w:before="240" w:after="0"/>
      <w:ind w:hanging="288" w:start="288" w:end="2520"/>
    </w:pPr>
    <w:rPr/>
  </w:style>
  <w:style w:type="paragraph" w:styleId="TOC2">
    <w:name w:val="toc 2"/>
    <w:basedOn w:val="TOC1"/>
    <w:next w:val="Normal"/>
    <w:pPr>
      <w:ind w:hanging="288" w:start="648" w:end="2520"/>
    </w:pPr>
    <w:rPr/>
  </w:style>
  <w:style w:type="paragraph" w:styleId="Court">
    <w:name w:val="Court"/>
    <w:basedOn w:val="Normal"/>
    <w:qFormat/>
    <w:pPr>
      <w:spacing w:before="240" w:after="0"/>
      <w:jc w:val="center"/>
    </w:pPr>
    <w:rPr/>
  </w:style>
  <w:style w:type="paragraph" w:styleId="Client">
    <w:name w:val="Client"/>
    <w:basedOn w:val="Normal"/>
    <w:qFormat/>
    <w:pPr>
      <w:ind w:hanging="0" w:start="0" w:end="4406"/>
    </w:pPr>
    <w:rPr/>
  </w:style>
  <w:style w:type="paragraph" w:styleId="Date">
    <w:name w:val="Date"/>
    <w:basedOn w:val="Normal"/>
    <w:qFormat/>
    <w:pPr>
      <w:keepNext w:val="true"/>
      <w:tabs>
        <w:tab w:val="clear" w:pos="720"/>
        <w:tab w:val="left" w:pos="1627" w:leader="none"/>
      </w:tabs>
      <w:spacing w:before="240" w:after="240"/>
      <w:ind w:hanging="0" w:start="720" w:end="0"/>
    </w:pPr>
    <w:rPr/>
  </w:style>
  <w:style w:type="paragraph" w:styleId="ClientIndented">
    <w:name w:val="Client Indented"/>
    <w:basedOn w:val="Normal"/>
    <w:qFormat/>
    <w:pPr>
      <w:keepNext w:val="true"/>
      <w:ind w:hanging="0" w:start="5040" w:end="0"/>
    </w:pPr>
    <w:rPr/>
  </w:style>
  <w:style w:type="paragraph" w:styleId="TOC3">
    <w:name w:val="toc 3"/>
    <w:basedOn w:val="TOC2"/>
    <w:next w:val="Normal"/>
    <w:pPr>
      <w:ind w:hanging="288" w:start="1008" w:end="2520"/>
    </w:pPr>
    <w:rPr/>
  </w:style>
  <w:style w:type="paragraph" w:styleId="TOC4">
    <w:name w:val="toc 4"/>
    <w:basedOn w:val="TOC3"/>
    <w:next w:val="Normal"/>
    <w:pPr>
      <w:ind w:hanging="288" w:start="1368" w:end="2520"/>
    </w:pPr>
    <w:rPr/>
  </w:style>
  <w:style w:type="paragraph" w:styleId="TOC5">
    <w:name w:val="toc 5"/>
    <w:basedOn w:val="TOC4"/>
    <w:next w:val="Normal"/>
    <w:pPr>
      <w:ind w:hanging="288" w:start="1728" w:end="2520"/>
    </w:pPr>
    <w:rPr/>
  </w:style>
  <w:style w:type="paragraph" w:styleId="TOC6">
    <w:name w:val="toc 6"/>
    <w:basedOn w:val="TOC5"/>
    <w:next w:val="Normal"/>
    <w:pPr>
      <w:ind w:hanging="288" w:start="2088" w:end="2520"/>
    </w:pPr>
    <w:rPr/>
  </w:style>
  <w:style w:type="paragraph" w:styleId="TOC7">
    <w:name w:val="toc 7"/>
    <w:basedOn w:val="TOC6"/>
    <w:next w:val="Normal"/>
    <w:pPr>
      <w:ind w:hanging="288" w:start="2448" w:end="2520"/>
    </w:pPr>
    <w:rPr/>
  </w:style>
  <w:style w:type="paragraph" w:styleId="TOC8">
    <w:name w:val="toc 8"/>
    <w:basedOn w:val="TOC7"/>
    <w:next w:val="Normal"/>
    <w:pPr>
      <w:ind w:hanging="288" w:start="2808" w:end="2520"/>
    </w:pPr>
    <w:rPr/>
  </w:style>
  <w:style w:type="paragraph" w:styleId="TOC9">
    <w:name w:val="toc 9"/>
    <w:basedOn w:val="TOC8"/>
    <w:next w:val="Normal"/>
    <w:pPr>
      <w:ind w:hanging="288" w:start="3168" w:end="252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Arial" w:hAnsi="Arial" w:eastAsia="Times New Roman" w:cs="Arial"/>
      <w:color w:val="auto"/>
      <w:sz w:val="20"/>
      <w:szCs w:val="20"/>
      <w:lang w:val="en-US" w:eastAsia="zh-CN" w:bidi="hi-IN"/>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BodyText1">
    <w:name w:val="Body Text #"/>
    <w:basedOn w:val="BodyText"/>
    <w:qFormat/>
    <w:pPr>
      <w:numPr>
        <w:ilvl w:val="0"/>
        <w:numId w:val="5"/>
      </w:numPr>
      <w:jc w:val="both"/>
    </w:pPr>
    <w:rPr>
      <w:spacing w:val="0"/>
    </w:rPr>
  </w:style>
  <w:style w:type="paragraph" w:styleId="Index1">
    <w:name w:val="index 1"/>
    <w:basedOn w:val="Normal"/>
    <w:next w:val="Normal"/>
    <w:pPr>
      <w:tabs>
        <w:tab w:val="clear" w:pos="720"/>
        <w:tab w:val="right" w:pos="9792" w:leader="dot"/>
      </w:tabs>
      <w:ind w:hanging="240" w:start="240" w:end="0"/>
    </w:pPr>
    <w:rPr/>
  </w:style>
  <w:style w:type="paragraph" w:styleId="Closing">
    <w:name w:val="Closing"/>
    <w:basedOn w:val="Normal"/>
    <w:qFormat/>
    <w:pPr>
      <w:ind w:hanging="0" w:start="4320" w:end="0"/>
    </w:pPr>
    <w:rPr/>
  </w:style>
  <w:style w:type="paragraph" w:styleId="BodyTexta">
    <w:name w:val="Body Text (a)"/>
    <w:basedOn w:val="BodyText"/>
    <w:qFormat/>
    <w:pPr>
      <w:numPr>
        <w:ilvl w:val="0"/>
        <w:numId w:val="6"/>
      </w:numPr>
      <w:tabs>
        <w:tab w:val="clear" w:pos="720"/>
        <w:tab w:val="left" w:pos="1800" w:leader="none"/>
      </w:tabs>
      <w:ind w:firstLine="1166" w:start="720" w:end="0"/>
      <w:jc w:val="both"/>
    </w:pPr>
    <w:rPr/>
  </w:style>
  <w:style w:type="paragraph" w:styleId="BodyTextNo">
    <w:name w:val="Body Text No#"/>
    <w:basedOn w:val="BodyText1"/>
    <w:next w:val="BodyText1"/>
    <w:qFormat/>
    <w:pPr/>
    <w:rPr/>
  </w:style>
  <w:style w:type="paragraph" w:styleId="CenterTitle">
    <w:name w:val="CenterTitle"/>
    <w:basedOn w:val="BodyText"/>
    <w:next w:val="BodyText"/>
    <w:qFormat/>
    <w:pPr>
      <w:keepNext w:val="true"/>
      <w:numPr>
        <w:ilvl w:val="0"/>
        <w:numId w:val="0"/>
      </w:numPr>
      <w:ind w:hanging="0" w:start="0" w:end="0"/>
      <w:jc w:val="center"/>
    </w:pPr>
    <w:rPr>
      <w:rFonts w:ascii="Times New Roman Bold" w:hAnsi="Times New Roman Bold" w:cs="Times New Roman Bold"/>
      <w:b/>
    </w:rPr>
  </w:style>
  <w:style w:type="paragraph" w:styleId="AfterQuote">
    <w:name w:val="After Quote"/>
    <w:basedOn w:val="BodyText"/>
    <w:next w:val="BodyText"/>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2001-02-07T12:32:00Z</dcterms:created>
  <dc:creator>JHE1</dc:creator>
  <dc:description/>
  <dc:language>en-CA</dc:language>
  <cp:lastModifiedBy>dep</cp:lastModifiedBy>
  <cp:lastPrinted>2001-02-07T15:01:00Z</cp:lastPrinted>
  <dcterms:modified xsi:type="dcterms:W3CDTF">2001-02-07T20:41:00Z</dcterms:modified>
  <cp:revision>19</cp:revision>
  <dc:subject/>
  <dc:title>Morrison &amp; Foerster Pleading Template version 3.0</dc:title>
</cp:coreProperties>
</file>