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10078" w:dyaOrig="7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0pt;width:468pt;height:35.25pt;mso-wrap-distance-left:9.05pt;mso-wrap-distance-right:9.05pt;mso-position-horizontal-relative:text;mso-position-vertical-relative:text" filled="f" o:ole="">
            <v:imagedata r:id="rId3" o:title=""/>
            <w10:wrap type="topAndBottom"/>
          </v:shape>
          <o:OLEObject Type="Embed" ProgID="" ShapeID="ole_rId2" DrawAspect="Content" ObjectID="_2133764621" r:id="rId2"/>
        </w:object>
        <w:object w:dxaOrig="1155" w:dyaOrig="75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9.6pt;margin-top:-1.5pt;width:57.75pt;height:37.5pt;mso-wrap-distance-left:9.05pt;mso-wrap-distance-right:9.05pt;mso-position-horizontal-relative:text;mso-position-vertical-relative:text" filled="f" o:ole="">
            <v:imagedata r:id="rId5" o:title=""/>
            <w10:wrap type="topAndBottom"/>
          </v:shape>
          <o:OLEObject Type="Embed" ProgID="" ShapeID="ole_rId4" DrawAspect="Content" ObjectID="_1676999237" r:id="rId4"/>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548640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3.2pt" to="428.35pt,43.2pt" stroked="t" o:allowincell="f" style="position:absolute">
                <v:stroke color="navy" weight="38160" joinstyle="miter" endcap="flat"/>
                <v:fill o:detectmouseclick="t" on="false"/>
                <w10:wrap type="topAndBottom"/>
              </v:line>
            </w:pict>
          </mc:Fallback>
        </mc:AlternateContent>
      </w:r>
    </w:p>
    <w:p>
      <w:pPr>
        <w:pStyle w:val="Normal"/>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169.2pt;margin-top:13pt;width:104.95pt;height:20.2pt;mso-wrap-style:none;v-text-anchor:middle" type="_x0000_t136">
            <v:path textpathok="t"/>
            <v:textpath on="t" fitshape="t" string="Interactive TV" style="font-family:&quot;Impact&quot;;font-size:18pt" trim="t"/>
            <v:fill o:detectmouseclick="t" type="solid" color2="#cc9966"/>
            <v:stroke color="#3465a4" joinstyle="round" endcap="flat"/>
            <v:shadow on="t" obscured="f" color="silver"/>
            <w10:wrap type="topAndBottom"/>
          </v:shape>
        </w:pict>
      </w:r>
      <w:r>
        <w:rPr/>
        <w:t>February 2001 IntelliBytes</w:t>
        <w:tab/>
        <w:tab/>
        <w:tab/>
        <w:tab/>
        <w:tab/>
        <w:tab/>
        <w:tab/>
        <w:t xml:space="preserve">              by Rita Hartfield</w:t>
      </w:r>
    </w:p>
    <w:p>
      <w:pPr>
        <w:pStyle w:val="Normal"/>
        <w:jc w:val="both"/>
        <w:rPr>
          <w:rFonts w:ascii="Impact" w:hAnsi="Impact" w:cs="Impact"/>
        </w:rPr>
      </w:pPr>
      <w:r>
        <w:rPr>
          <w:rFonts w:cs="Impact" w:ascii="Impact" w:hAnsi="Impact"/>
        </w:rPr>
      </w:r>
    </w:p>
    <w:p>
      <w:pPr>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pPr>
      <w:r>
        <w:rPr/>
        <w:t>The average U.S. household watches 7.5 hours of television per day.  TV is the most dominant platform for passive entertainment in the U.S. with a household penetration rate of 99%.</w:t>
      </w:r>
    </w:p>
    <w:p>
      <w:pPr>
        <w:pStyle w:val="Normal"/>
        <w:rPr/>
      </w:pPr>
      <w:r>
        <w:rPr/>
      </w:r>
    </w:p>
    <w:p>
      <w:pPr>
        <w:pStyle w:val="Normal"/>
        <w:rPr/>
      </w:pPr>
      <w:r>
        <w:rPr/>
        <w:t>The U.S. cable TV operators have spent billions upgrading their network to enable digital signaling which significantly increases available bandwidth, channel capacity, and provide two-way capability.  Digital cable subscribers numbered 8.8 million or 13.4% penetration of basic subscribers at year end 2000 and is expected to reach 48.7 million subscribers the end of 2007.</w:t>
      </w:r>
    </w:p>
    <w:p>
      <w:pPr>
        <w:pStyle w:val="Normal"/>
        <w:rPr/>
      </w:pPr>
      <w:r>
        <w:rPr/>
      </w:r>
    </w:p>
    <w:p>
      <w:pPr>
        <w:pStyle w:val="Normal"/>
        <w:rPr/>
      </w:pPr>
      <w:r>
        <w:rPr/>
        <w:t>Wink Communications is the leader in iTV.  Wink's product is expected to be in front of over 6 million households by the end of 2001 via a combination of cable, satellite, and WebTV.</w:t>
      </w:r>
    </w:p>
    <w:p>
      <w:pPr>
        <w:pStyle w:val="Normal"/>
        <w:rPr/>
      </w:pPr>
      <w:r>
        <w:rPr/>
      </w:r>
    </w:p>
    <w:p>
      <w:pPr>
        <w:pStyle w:val="Normal"/>
        <w:rPr/>
      </w:pPr>
      <w:r>
        <w:rPr/>
        <w:t>It is estimated that by year end 2000, nearly 65% of U.S. cable plant was upgraded to 750 MHz with nearly 70% of cable plant being two-way capable.  The chart below details select major cable operator plant percent upgrades at year end 2000.  Hertz (Hz) are used to measure how much bandwidth a particular channel uses.  More than 1,100 digital TV channels could be transmitted downstream over a 750 MHz pipe.</w:t>
      </w:r>
    </w:p>
    <w:p>
      <w:pPr>
        <w:pStyle w:val="Normal"/>
        <w:rPr/>
      </w:pPr>
      <w:r>
        <w:rPr/>
      </w:r>
    </w:p>
    <w:tbl>
      <w:tblPr>
        <w:tblW w:w="4175" w:type="dxa"/>
        <w:jc w:val="start"/>
        <w:tblInd w:w="0" w:type="dxa"/>
        <w:tblLayout w:type="fixed"/>
        <w:tblCellMar>
          <w:top w:w="0" w:type="dxa"/>
          <w:start w:w="108" w:type="dxa"/>
          <w:bottom w:w="0" w:type="dxa"/>
          <w:end w:w="108" w:type="dxa"/>
        </w:tblCellMar>
      </w:tblPr>
      <w:tblGrid>
        <w:gridCol w:w="1368"/>
        <w:gridCol w:w="810"/>
        <w:gridCol w:w="630"/>
        <w:gridCol w:w="630"/>
        <w:gridCol w:w="737"/>
      </w:tblGrid>
      <w:tr>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Cable Operators </w:t>
            </w:r>
          </w:p>
        </w:tc>
        <w:tc>
          <w:tcPr>
            <w:tcW w:w="2807" w:type="dxa"/>
            <w:gridSpan w:val="4"/>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MHz Status as of 12/30/2000</w:t>
            </w:r>
          </w:p>
        </w:tc>
      </w:tr>
      <w:tr>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10" w:type="dxa"/>
            <w:tcBorders>
              <w:top w:val="single" w:sz="4" w:space="0" w:color="000000"/>
              <w:start w:val="single" w:sz="4" w:space="0" w:color="000000"/>
              <w:end w:val="single" w:sz="4" w:space="0" w:color="000000"/>
            </w:tcBorders>
          </w:tcPr>
          <w:p>
            <w:pPr>
              <w:pStyle w:val="Normal"/>
              <w:jc w:val="end"/>
              <w:rPr>
                <w:b/>
              </w:rPr>
            </w:pPr>
            <w:r>
              <w:rPr>
                <w:b/>
              </w:rPr>
              <w:t>&lt;550</w:t>
            </w:r>
          </w:p>
        </w:tc>
        <w:tc>
          <w:tcPr>
            <w:tcW w:w="630" w:type="dxa"/>
            <w:tcBorders>
              <w:top w:val="single" w:sz="4" w:space="0" w:color="000000"/>
              <w:start w:val="single" w:sz="4" w:space="0" w:color="000000"/>
              <w:end w:val="single" w:sz="4" w:space="0" w:color="000000"/>
            </w:tcBorders>
          </w:tcPr>
          <w:p>
            <w:pPr>
              <w:pStyle w:val="Normal"/>
              <w:jc w:val="end"/>
              <w:rPr>
                <w:b/>
              </w:rPr>
            </w:pPr>
            <w:r>
              <w:rPr>
                <w:b/>
              </w:rPr>
              <w:t>550+</w:t>
            </w:r>
          </w:p>
        </w:tc>
        <w:tc>
          <w:tcPr>
            <w:tcW w:w="630" w:type="dxa"/>
            <w:tcBorders>
              <w:top w:val="single" w:sz="4" w:space="0" w:color="000000"/>
              <w:start w:val="single" w:sz="4" w:space="0" w:color="000000"/>
              <w:end w:val="single" w:sz="4" w:space="0" w:color="000000"/>
            </w:tcBorders>
          </w:tcPr>
          <w:p>
            <w:pPr>
              <w:pStyle w:val="Normal"/>
              <w:jc w:val="end"/>
              <w:rPr>
                <w:b/>
              </w:rPr>
            </w:pPr>
            <w:r>
              <w:rPr>
                <w:b/>
              </w:rPr>
              <w:t xml:space="preserve">750+ </w:t>
            </w:r>
          </w:p>
        </w:tc>
        <w:tc>
          <w:tcPr>
            <w:tcW w:w="737" w:type="dxa"/>
            <w:tcBorders>
              <w:top w:val="single" w:sz="4" w:space="0" w:color="000000"/>
              <w:start w:val="single" w:sz="4" w:space="0" w:color="000000"/>
              <w:end w:val="single" w:sz="4" w:space="0" w:color="000000"/>
            </w:tcBorders>
          </w:tcPr>
          <w:p>
            <w:pPr>
              <w:pStyle w:val="Normal"/>
              <w:jc w:val="end"/>
              <w:rPr>
                <w:b/>
              </w:rPr>
            </w:pPr>
            <w:r>
              <w:rPr>
                <w:b/>
              </w:rPr>
              <w:t>2-way</w:t>
            </w:r>
          </w:p>
        </w:tc>
      </w:tr>
      <w:tr>
        <w:trPr>
          <w:trHeight w:val="120" w:hRule="exact"/>
        </w:trPr>
        <w:tc>
          <w:tcPr>
            <w:tcW w:w="136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rPr>
            </w:pPr>
            <w:r>
              <w:rPr>
                <w:b/>
              </w:rPr>
            </w:r>
          </w:p>
        </w:tc>
        <w:tc>
          <w:tcPr>
            <w:tcW w:w="81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737"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AT&amp;T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21%</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75%</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75%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Time Warner</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13%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87%</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85%</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100%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Cablevision</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73%</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73%</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Charter</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60%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54%</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Comcast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14%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70%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Cox</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21%</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73%</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Adelphia</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36%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64%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40%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50%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Insight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94%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87%</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89%</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Mediacom</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26%</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43%</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47%</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Classic</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55%</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15%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Others</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75%</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25%</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10%</w:t>
            </w:r>
          </w:p>
        </w:tc>
        <w:tc>
          <w:tcPr>
            <w:tcW w:w="737" w:type="dxa"/>
            <w:tcBorders>
              <w:top w:val="single" w:sz="4" w:space="0" w:color="000000"/>
              <w:start w:val="single" w:sz="4" w:space="0" w:color="000000"/>
              <w:bottom w:val="single" w:sz="4" w:space="0" w:color="000000"/>
              <w:end w:val="single" w:sz="4" w:space="0" w:color="000000"/>
            </w:tcBorders>
          </w:tcPr>
          <w:p>
            <w:pPr>
              <w:pStyle w:val="Normal"/>
              <w:jc w:val="end"/>
              <w:rPr/>
            </w:pPr>
            <w:r>
              <w:rPr/>
              <w:t>15%</w:t>
            </w:r>
          </w:p>
        </w:tc>
      </w:tr>
    </w:tbl>
    <w:p>
      <w:pPr>
        <w:pStyle w:val="Normal"/>
        <w:rPr>
          <w:i/>
          <w:i/>
          <w:sz w:val="16"/>
        </w:rPr>
      </w:pPr>
      <w:r>
        <w:rPr>
          <w:i/>
          <w:sz w:val="16"/>
        </w:rPr>
        <w:t>Source:  Deutsche Bank and company information</w:t>
      </w:r>
    </w:p>
    <w:p>
      <w:pPr>
        <w:pStyle w:val="Normal"/>
        <w:rPr>
          <w:i/>
          <w:i/>
          <w:sz w:val="16"/>
        </w:rPr>
      </w:pPr>
      <w:r>
        <w:rPr>
          <w:i/>
          <w:sz w:val="16"/>
        </w:rPr>
      </w:r>
    </w:p>
    <w:p>
      <w:pPr>
        <w:pStyle w:val="Normal"/>
        <w:rPr/>
      </w:pPr>
      <w:r>
        <w:rPr/>
        <w:t>Digital is the platform for video on demand, VOD, and interactive TV, iTV, while high speed data is the platform for IP telephony, home networking, home security, and home monitoring.</w:t>
      </w:r>
    </w:p>
    <w:p>
      <w:pPr>
        <w:pStyle w:val="Normal"/>
        <w:rPr/>
      </w:pPr>
      <w:r>
        <w:rPr/>
      </w:r>
    </w:p>
    <w:p>
      <w:pPr>
        <w:pStyle w:val="Normal"/>
        <w:rPr/>
      </w:pPr>
      <w:r>
        <w:rPr/>
        <w:t>Some consumers will always want "passive" TV but a certain percentage of consumers will want more movies, more kid shows, etc..  Another segment [with some overlap] will want games, others will want the ease and convince of making purchases.</w:t>
      </w:r>
    </w:p>
    <w:p>
      <w:pPr>
        <w:pStyle w:val="Normal"/>
        <w:rPr/>
      </w:pPr>
      <w:r>
        <w:rPr/>
      </w:r>
    </w:p>
    <w:p>
      <w:pPr>
        <w:pStyle w:val="Normal"/>
        <w:rPr/>
      </w:pPr>
      <w:r>
        <w:rPr/>
        <w:t>The cable industry has a history of successful product development and deployment with very long life cycles including basic cable, tiered programming, and premium channels.  Cable products can leverage product platforms which can be enhanced by new service offering without cannibalizing existing service offerings.</w:t>
      </w:r>
    </w:p>
    <w:p>
      <w:pPr>
        <w:pStyle w:val="Normal"/>
        <w:rPr/>
      </w:pPr>
      <w:r>
        <w:rPr/>
      </w:r>
    </w:p>
    <w:p>
      <w:pPr>
        <w:pStyle w:val="Normal"/>
        <w:rPr/>
      </w:pPr>
      <w:r>
        <w:rPr/>
        <w:t xml:space="preserve">Interactive TV presents such a revenue opportunity -- high value, high margin, low fixed costs and minimal incremental costs.  To cable operators that is too compelling to ignore. </w:t>
      </w:r>
    </w:p>
    <w:p>
      <w:pPr>
        <w:pStyle w:val="Normal"/>
        <w:rPr/>
      </w:pPr>
      <w:r>
        <w:rPr/>
      </w:r>
    </w:p>
    <w:p>
      <w:pPr>
        <w:pStyle w:val="Normal"/>
        <w:rPr/>
      </w:pPr>
      <w:r>
        <w:rPr/>
        <w:t>Forrester Research estimates that the iTV market will grow from $848 million in 2000 to $48.2 billion in 2005, or a CAGR of 124%.  Cable operators should be able to capture 20% of this potential revenue.  Merrill Lynch estimates total cable iTV service revenues at $209 million in 2001 growing to $8.5 billion in 2005.</w:t>
      </w:r>
    </w:p>
    <w:p>
      <w:pPr>
        <w:pStyle w:val="Normal"/>
        <w:rPr/>
      </w:pPr>
      <w:r>
        <w:rPr/>
      </w:r>
    </w:p>
    <w:p>
      <w:pPr>
        <w:pStyle w:val="Normal"/>
        <w:rPr/>
      </w:pPr>
      <w:r>
        <w:rPr/>
        <w:t>There are at least five new or incremental business available to cable operators.  These include:</w:t>
      </w:r>
    </w:p>
    <w:p>
      <w:pPr>
        <w:pStyle w:val="Normal"/>
        <w:numPr>
          <w:ilvl w:val="0"/>
          <w:numId w:val="1"/>
        </w:numPr>
        <w:rPr/>
      </w:pPr>
      <w:r>
        <w:rPr>
          <w:i/>
        </w:rPr>
        <w:t>Video on demand</w:t>
      </w:r>
      <w:r>
        <w:rPr/>
        <w:t xml:space="preserve"> which allows subscribers to watch video programming at any time with pause, rewind and fast forward capabilities.</w:t>
      </w:r>
    </w:p>
    <w:p>
      <w:pPr>
        <w:pStyle w:val="Normal"/>
        <w:numPr>
          <w:ilvl w:val="0"/>
          <w:numId w:val="1"/>
        </w:numPr>
        <w:rPr/>
      </w:pPr>
      <w:r>
        <w:rPr>
          <w:i/>
        </w:rPr>
        <w:t>Interactive program guides [IPG]</w:t>
      </w:r>
      <w:r>
        <w:rPr/>
        <w:t xml:space="preserve"> which allow viewers to select programming based on title, time or genre.  An IPG is essential in a 100+ channel world. Studies show that the average viewer visits the IPG four times every hour and views three separate pages during each visit.</w:t>
      </w:r>
    </w:p>
    <w:p>
      <w:pPr>
        <w:pStyle w:val="Normal"/>
        <w:numPr>
          <w:ilvl w:val="0"/>
          <w:numId w:val="1"/>
        </w:numPr>
        <w:rPr/>
      </w:pPr>
      <w:r>
        <w:rPr>
          <w:i/>
        </w:rPr>
        <w:t>Interactive advertising</w:t>
      </w:r>
      <w:r>
        <w:rPr/>
        <w:t xml:space="preserve"> which can be very targeted allow the advertiser greater return for their advertising dollar.</w:t>
      </w:r>
    </w:p>
    <w:p>
      <w:pPr>
        <w:pStyle w:val="Normal"/>
        <w:numPr>
          <w:ilvl w:val="0"/>
          <w:numId w:val="1"/>
        </w:numPr>
        <w:rPr/>
      </w:pPr>
      <w:r>
        <w:rPr>
          <w:i/>
        </w:rPr>
        <w:t>T-commerce</w:t>
      </w:r>
      <w:r>
        <w:rPr/>
        <w:t xml:space="preserve"> which offers product purchase opportunities presented on the IPG and offers localized portals and limited Internet access containing links to local businesses, restaurants, movie times, etc., this is referred to as "walled gardens".</w:t>
      </w:r>
    </w:p>
    <w:p>
      <w:pPr>
        <w:pStyle w:val="Normal"/>
        <w:numPr>
          <w:ilvl w:val="0"/>
          <w:numId w:val="1"/>
        </w:numPr>
        <w:rPr/>
      </w:pPr>
      <w:r>
        <w:rPr>
          <w:i/>
        </w:rPr>
        <w:t>Subscription service</w:t>
      </w:r>
      <w:r>
        <w:rPr/>
        <w:t xml:space="preserve"> which is an interactive package which can be purchased on a monthly basis.  The packages could include video games, time shifted television such as ESPN-on-demand, education videos, children's programming, etc.</w:t>
      </w:r>
    </w:p>
    <w:p>
      <w:pPr>
        <w:pStyle w:val="Normal"/>
        <w:rPr/>
      </w:pPr>
      <w:r>
        <w:rPr/>
      </w:r>
    </w:p>
    <w:p>
      <w:pPr>
        <w:pStyle w:val="Normal"/>
        <w:rPr/>
      </w:pPr>
      <w:r>
        <w:rPr/>
        <w:t>Revenue streams from these services are estimated to be $12.33 per digital subscriber per month.  The cable provider could expect to receive about $5 of this amount.</w:t>
      </w:r>
    </w:p>
    <w:p>
      <w:pPr>
        <w:pStyle w:val="Normal"/>
        <w:rPr/>
      </w:pPr>
      <w:r>
        <w:rPr/>
      </w:r>
    </w:p>
    <w:p>
      <w:pPr>
        <w:pStyle w:val="Normal"/>
        <w:rPr/>
      </w:pPr>
      <w:r>
        <w:rPr/>
        <w:t>Of course there are hurdles to overcome such as a current supply shortage of digital set-top-boxes, vendor selections, software bugs (each new service has to be linked to billing systems particularly for interactive TV), and technological hurdles.</w:t>
      </w:r>
    </w:p>
    <w:p>
      <w:pPr>
        <w:pStyle w:val="Normal"/>
        <w:rPr/>
      </w:pPr>
      <w:r>
        <w:rPr/>
      </w:r>
    </w:p>
    <w:p>
      <w:pPr>
        <w:pStyle w:val="Normal"/>
        <w:rPr/>
      </w:pPr>
      <w:r>
        <w:rPr/>
        <w:t>Industry experts expect VOD  to reach the commercial deployment stage during 2001 and really take off in 2002 with penetration rates projected to reach 40% of digital subscribers by year end 2002.  Interactive advertising should begin in 2001 and gain momentum in 2002 when revenue models are in place.  T-commerce and subscription services will begin to appear in 2002 and gain momentum in 2003.</w:t>
      </w:r>
    </w:p>
    <w:p>
      <w:pPr>
        <w:pStyle w:val="Normal"/>
        <w:rPr/>
      </w:pPr>
      <w:r>
        <w:rPr/>
      </w:r>
    </w:p>
    <w:p>
      <w:pPr>
        <w:pStyle w:val="Normal"/>
        <w:rPr/>
      </w:pPr>
      <w:r>
        <w:rPr/>
        <w:t>Cable operators have the competitive advantage in iTV, at least in the near term, compared to satellite service which are designed to offer one way communications making interactivity a difficult, or slower, proposition.  It was estimated that at year end 2000, cable TV had 68.1 million subscribers, digital broadcast satellite had 16.3 million subscribers and other TV venues had less than 1.3 million subscribers.</w:t>
      </w:r>
    </w:p>
    <w:p>
      <w:pPr>
        <w:pStyle w:val="Normal"/>
        <w:rPr/>
      </w:pPr>
      <w:r>
        <w:rPr/>
      </w:r>
    </w:p>
    <w:p>
      <w:pPr>
        <w:pStyle w:val="Normal"/>
        <w:rPr/>
      </w:pPr>
      <w:r>
        <w:rPr/>
      </w:r>
    </w:p>
    <w:p>
      <w:pPr>
        <w:pStyle w:val="Normal"/>
        <w:rPr>
          <w:b/>
        </w:rPr>
      </w:pPr>
      <w:r>
        <w:rPr>
          <w:b/>
        </w:rPr>
        <w:t xml:space="preserve">Cablevision - </w:t>
      </w:r>
      <w:r>
        <w:rPr>
          <w:b/>
          <w:i/>
        </w:rPr>
        <w:t>one to watch</w:t>
      </w:r>
    </w:p>
    <w:p>
      <w:pPr>
        <w:pStyle w:val="Normal"/>
        <w:rPr>
          <w:b/>
        </w:rPr>
      </w:pPr>
      <w:r>
        <w:rPr>
          <w:b/>
        </w:rPr>
      </w:r>
    </w:p>
    <w:p>
      <w:pPr>
        <w:pStyle w:val="Normal"/>
        <w:rPr/>
      </w:pPr>
      <w:r>
        <w:rPr/>
        <w:t>Cablevision is the company to watch in the iTV arena because it may very well set the standards.  Cablevision will begin deploying Sony's advanced digital box, DCJ-5000, in mid 2001.  The Sony box includes features such as DOCSIS modem, USB interface, a 300+ mips processor, 16 Mbps of DRAM, and complies with OpenCable specifications.  It will offer many interactive services including VOD, IPG, e:mail, e-commerce, games and Internet over the TV set.</w:t>
      </w:r>
    </w:p>
    <w:p>
      <w:pPr>
        <w:pStyle w:val="Normal"/>
        <w:rPr/>
      </w:pPr>
      <w:r>
        <w:rPr/>
      </w:r>
    </w:p>
    <w:p>
      <w:pPr>
        <w:pStyle w:val="Normal"/>
        <w:rPr/>
      </w:pPr>
      <w:r>
        <w:rPr/>
        <w:t>Cablevision expects to have 5,000 subscribers for a trial during Q1 2001 and expects to have 500,000 boxes deployed in 325,000 homes by the end of 2001 in the New York DMA.  The median per capita household income of the New York DMA is nearly 50% higher than the US average and home density is very high at roughly 120 home per mile.  Cablevision has the highest revenue per subscriber statistics in the cable industry.</w:t>
      </w:r>
    </w:p>
    <w:p>
      <w:pPr>
        <w:pStyle w:val="Normal"/>
        <w:rPr/>
      </w:pPr>
      <w:r>
        <w:rPr/>
      </w:r>
    </w:p>
    <w:p>
      <w:pPr>
        <w:pStyle w:val="Normal"/>
        <w:rPr/>
      </w:pPr>
      <w:r>
        <w:rPr/>
        <w:t>The Sony box is expected to be fully deployed on Cablevision's nearly 2 million premium homes over the next 3 to 4 years at a cost of $1.0 billion. Cablevision states that this is the last piece of consumer equipment that it plans to subsidize.  After deployment Cablevision will move to a retail distribution model for boxes.  Indeed most cable operators are expected to move to a retail distribution model which should accelerate the pace of the rollout.</w:t>
      </w:r>
    </w:p>
    <w:p>
      <w:pPr>
        <w:pStyle w:val="Normal"/>
        <w:rPr/>
      </w:pPr>
      <w:r>
        <w:rPr/>
      </w:r>
    </w:p>
    <w:p>
      <w:pPr>
        <w:pStyle w:val="Normal"/>
        <w:rPr/>
      </w:pPr>
      <w:r>
        <w:rPr/>
        <w:t>Cablevision is owned by the Dolan family.  The family has a 26.2% economic interest and a 77.0% voting interest in the company.  AT&amp;T and Liberty Media own a 28% economic interest and a 9% voting interest.</w:t>
      </w:r>
    </w:p>
    <w:p>
      <w:pPr>
        <w:pStyle w:val="Normal"/>
        <w:rPr/>
      </w:pPr>
      <w:r>
        <w:rPr/>
      </w:r>
    </w:p>
    <w:p>
      <w:pPr>
        <w:pStyle w:val="Normal"/>
        <w:rPr/>
      </w:pPr>
      <w:r>
        <w:rPr/>
        <w:t>Cablevision and AOL Time Warner are the only two cable operators planning to actually deploy some sort of IP telephony offering in 2001.  Most other top cable operators are currently testing IP telephone but have indicated that the technology is not quite ready for primetime.</w:t>
      </w:r>
    </w:p>
    <w:p>
      <w:pPr>
        <w:pStyle w:val="Normal"/>
        <w:rPr/>
      </w:pPr>
      <w:r>
        <w:rPr/>
      </w:r>
    </w:p>
    <w:p>
      <w:pPr>
        <w:pStyle w:val="Normal"/>
        <w:rPr/>
      </w:pPr>
      <w:r>
        <w:rPr/>
        <w:t>As of September 30, 2000, Lightpath [Cablevision's CLEC] was offering telephony service in 565 buildings with nearly 62,000 access lines to 11,600 customers.</w:t>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2001-04-11T11:06:00Z</dcterms:created>
  <dc:creator>rita_hartfield</dc:creator>
  <dc:description/>
  <dc:language>en-CA</dc:language>
  <cp:lastModifiedBy>rita_hartfield</cp:lastModifiedBy>
  <cp:lastPrinted>2001-02-14T17:23:00Z</cp:lastPrinted>
  <dcterms:modified xsi:type="dcterms:W3CDTF">2001-04-24T13:36:00Z</dcterms:modified>
  <cp:revision>7</cp:revision>
  <dc:subject/>
  <dc:title/>
</cp:coreProperties>
</file>