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r>
    </w:p>
    <w:p>
      <w:pPr>
        <w:pStyle w:val="Normal"/>
        <w:jc w:val="both"/>
        <w:rPr>
          <w:sz w:val="24"/>
        </w:rPr>
      </w:pPr>
      <w:r>
        <w:rPr>
          <w:sz w:val="24"/>
        </w:rPr>
        <w:tab/>
        <w:tab/>
        <w:tab/>
        <w:tab/>
        <w:tab/>
        <w:t>February 19, 2002</w:t>
      </w:r>
    </w:p>
    <w:p>
      <w:pPr>
        <w:pStyle w:val="Normal"/>
        <w:jc w:val="both"/>
        <w:rPr>
          <w:sz w:val="24"/>
        </w:rPr>
      </w:pPr>
      <w:r>
        <w:rPr>
          <w:sz w:val="24"/>
        </w:rPr>
      </w:r>
    </w:p>
    <w:p>
      <w:pPr>
        <w:pStyle w:val="Normal"/>
        <w:jc w:val="both"/>
        <w:rPr>
          <w:sz w:val="24"/>
        </w:rPr>
      </w:pPr>
      <w:r>
        <w:rPr>
          <w:sz w:val="24"/>
        </w:rPr>
      </w:r>
    </w:p>
    <w:p>
      <w:pPr>
        <w:pStyle w:val="Heading1"/>
        <w:ind w:hanging="0" w:start="0"/>
        <w:rPr/>
      </w:pPr>
      <w:r>
        <w:rPr/>
        <w:t>VIA FACSIMILE AND EXPRESS MAIL</w:t>
      </w:r>
    </w:p>
    <w:p>
      <w:pPr>
        <w:pStyle w:val="Normal"/>
        <w:rPr/>
      </w:pPr>
      <w:r>
        <w:rPr/>
      </w:r>
    </w:p>
    <w:p>
      <w:pPr>
        <w:pStyle w:val="Normal"/>
        <w:jc w:val="both"/>
        <w:rPr>
          <w:sz w:val="24"/>
        </w:rPr>
      </w:pPr>
      <w:r>
        <w:rPr>
          <w:sz w:val="24"/>
        </w:rPr>
        <w:t>Enron North America Corp.</w:t>
      </w:r>
    </w:p>
    <w:p>
      <w:pPr>
        <w:pStyle w:val="Normal"/>
        <w:jc w:val="both"/>
        <w:rPr>
          <w:sz w:val="24"/>
        </w:rPr>
      </w:pPr>
      <w:r>
        <w:rPr>
          <w:sz w:val="24"/>
        </w:rPr>
        <w:t>Notices/ Correspondence</w:t>
      </w:r>
    </w:p>
    <w:p>
      <w:pPr>
        <w:pStyle w:val="Normal"/>
        <w:jc w:val="both"/>
        <w:rPr>
          <w:sz w:val="24"/>
        </w:rPr>
      </w:pPr>
      <w:r>
        <w:rPr>
          <w:sz w:val="24"/>
        </w:rPr>
        <w:t>P. O. Box 4428</w:t>
      </w:r>
    </w:p>
    <w:p>
      <w:pPr>
        <w:pStyle w:val="Normal"/>
        <w:jc w:val="both"/>
        <w:rPr>
          <w:sz w:val="24"/>
        </w:rPr>
      </w:pPr>
      <w:r>
        <w:rPr>
          <w:sz w:val="24"/>
        </w:rPr>
        <w:t>Houston Texas  77210-4428</w:t>
      </w:r>
    </w:p>
    <w:p>
      <w:pPr>
        <w:pStyle w:val="Normal"/>
        <w:jc w:val="both"/>
        <w:rPr>
          <w:sz w:val="24"/>
        </w:rPr>
      </w:pPr>
      <w:r>
        <w:rPr>
          <w:sz w:val="24"/>
        </w:rPr>
        <w:t>Attention:  Documentation and Deal Clearing</w:t>
      </w:r>
    </w:p>
    <w:p>
      <w:pPr>
        <w:pStyle w:val="Normal"/>
        <w:jc w:val="both"/>
        <w:rPr>
          <w:sz w:val="24"/>
        </w:rPr>
      </w:pPr>
      <w:r>
        <w:rPr>
          <w:sz w:val="24"/>
        </w:rPr>
      </w:r>
    </w:p>
    <w:p>
      <w:pPr>
        <w:pStyle w:val="Normal"/>
        <w:ind w:hanging="720" w:start="2160" w:end="0"/>
        <w:jc w:val="both"/>
        <w:rPr>
          <w:sz w:val="24"/>
        </w:rPr>
      </w:pPr>
      <w:r>
        <w:rPr>
          <w:sz w:val="24"/>
        </w:rPr>
        <w:t>Re:</w:t>
        <w:tab/>
        <w:t>Delivery and Sale of Gas From TDC Energy Corporation to Enron North America Corp. for the period December 2, 2001 through December 31, 2001; Deal No. 778201</w:t>
      </w:r>
    </w:p>
    <w:p>
      <w:pPr>
        <w:pStyle w:val="Normal"/>
        <w:jc w:val="both"/>
        <w:rPr>
          <w:sz w:val="24"/>
        </w:rPr>
      </w:pPr>
      <w:r>
        <w:rPr>
          <w:sz w:val="24"/>
        </w:rPr>
      </w:r>
    </w:p>
    <w:p>
      <w:pPr>
        <w:pStyle w:val="Normal"/>
        <w:jc w:val="both"/>
        <w:rPr>
          <w:sz w:val="24"/>
        </w:rPr>
      </w:pPr>
      <w:r>
        <w:rPr>
          <w:sz w:val="24"/>
        </w:rPr>
        <w:t>To Whom It May Concern:</w:t>
      </w:r>
    </w:p>
    <w:p>
      <w:pPr>
        <w:pStyle w:val="Normal"/>
        <w:jc w:val="both"/>
        <w:rPr>
          <w:sz w:val="24"/>
        </w:rPr>
      </w:pPr>
      <w:r>
        <w:rPr>
          <w:sz w:val="24"/>
        </w:rPr>
      </w:r>
    </w:p>
    <w:p>
      <w:pPr>
        <w:pStyle w:val="BodyText"/>
        <w:ind w:firstLine="720" w:end="0"/>
        <w:jc w:val="both"/>
        <w:rPr/>
      </w:pPr>
      <w:r>
        <w:rPr/>
        <w:t>On December 2, 2001, Enron North America Corp. (“ENA”) filed a voluntary petition for chapter 11 reorganization in the United States Bankruptcy Court for Southern District of New York in the bankruptcy case entitled “</w:t>
      </w:r>
      <w:r>
        <w:rPr>
          <w:i/>
          <w:iCs/>
        </w:rPr>
        <w:t>In re Enron North America Corp.,</w:t>
      </w:r>
      <w:r>
        <w:rPr/>
        <w:t>” Case No. 01-16035.  In correspondence dated December 3, 2001, TDC Energy Corporation (“TDC”) indicated that it would continue to make deliveries to ENA as specified in the Firm Confirmation relating to the above referenced contract and under the same terms and conditions unless notified otherwise.  Pursuant to that correspondence, TDC continued to make deliveries post-petition throughout the month of December, 2001.  TDC was notified at the end of December that ENA would not schedule gas from TDC for the month of January 2002, and ENA has ceased purchases from TDC pursuant to the Firm Confirmation.</w:t>
      </w:r>
    </w:p>
    <w:p>
      <w:pPr>
        <w:pStyle w:val="Normal"/>
        <w:jc w:val="both"/>
        <w:rPr>
          <w:sz w:val="24"/>
        </w:rPr>
      </w:pPr>
      <w:r>
        <w:rPr>
          <w:sz w:val="24"/>
        </w:rPr>
      </w:r>
    </w:p>
    <w:p>
      <w:pPr>
        <w:pStyle w:val="Normal"/>
        <w:ind w:firstLine="720" w:end="0"/>
        <w:jc w:val="both"/>
        <w:rPr/>
      </w:pPr>
      <w:r>
        <w:rPr>
          <w:sz w:val="24"/>
        </w:rPr>
        <w:t>Under the above referenced contract, TDC delivered the volumes, and ENA accepted said deliveries for the post-petition period of December 2-31, 2001.  TDC is entitled to full payment for said deliveries under the terms of said contract which required payment by the 25</w:t>
      </w:r>
      <w:r>
        <w:rPr>
          <w:sz w:val="24"/>
          <w:vertAlign w:val="superscript"/>
        </w:rPr>
        <w:t>th</w:t>
      </w:r>
      <w:r>
        <w:rPr>
          <w:sz w:val="24"/>
        </w:rPr>
        <w:t xml:space="preserve"> day of the month following said deliveries, </w:t>
      </w:r>
      <w:r>
        <w:rPr>
          <w:i/>
          <w:iCs/>
          <w:sz w:val="24"/>
        </w:rPr>
        <w:t>viz.,</w:t>
      </w:r>
      <w:r>
        <w:rPr>
          <w:sz w:val="24"/>
        </w:rPr>
        <w:t xml:space="preserve"> January 25, 2002.  Moreover, this obligation of ENA is an administrative expense pursuant to section 503(b)(1) of the Bankruptcy Code, 11 U.S.C. </w:t>
      </w:r>
      <w:r>
        <w:rPr>
          <w:bCs/>
          <w:sz w:val="24"/>
        </w:rPr>
        <w:t>§ </w:t>
      </w:r>
      <w:r>
        <w:rPr>
          <w:sz w:val="24"/>
        </w:rPr>
        <w:t xml:space="preserve">503(b)(1), and is to be paid in the ordinary course of business by ENA as a debtor-in-possession.  Pursuant to the gas delivered and pursuant to the terms of the contract, TDC is owed $210,453.00.  (See attached January 25, 2002 Invoice)  As of this date, TDC has not received any payments for those deliveries and this amount plus accrued interest is past due.  </w:t>
      </w:r>
    </w:p>
    <w:p>
      <w:pPr>
        <w:pStyle w:val="Normal"/>
        <w:ind w:firstLine="720" w:end="0"/>
        <w:jc w:val="both"/>
        <w:rPr>
          <w:sz w:val="24"/>
        </w:rPr>
      </w:pPr>
      <w:r>
        <w:rPr>
          <w:sz w:val="24"/>
        </w:rPr>
      </w:r>
    </w:p>
    <w:p>
      <w:pPr>
        <w:pStyle w:val="Normal"/>
        <w:ind w:firstLine="720" w:end="0"/>
        <w:jc w:val="both"/>
        <w:rPr/>
      </w:pPr>
      <w:r>
        <w:rPr>
          <w:b/>
          <w:bCs/>
          <w:sz w:val="24"/>
        </w:rPr>
        <w:t>TDC herein DEMANDS full payment in the amount of $203,196.00 immediately for said delivery of gas</w:t>
      </w:r>
      <w:r>
        <w:rPr>
          <w:sz w:val="24"/>
        </w:rPr>
        <w:t>.  If payment is not received within the next three days or by close of business February 22, 2002, TDC will file a claim for administrative expenses in the bankruptcy court in New York and seek all other necessary relief against ENA as a debtor-in-possession.  TDC reserves all its rights relating to other breaches of the above referenced contract by ENA.</w:t>
      </w:r>
    </w:p>
    <w:p>
      <w:pPr>
        <w:pStyle w:val="Normal"/>
        <w:jc w:val="both"/>
        <w:rPr>
          <w:sz w:val="24"/>
        </w:rPr>
      </w:pPr>
      <w:r>
        <w:rPr>
          <w:sz w:val="24"/>
        </w:rPr>
      </w:r>
    </w:p>
    <w:p>
      <w:pPr>
        <w:pStyle w:val="Normal"/>
        <w:ind w:firstLine="720" w:end="0"/>
        <w:jc w:val="both"/>
        <w:rPr>
          <w:sz w:val="24"/>
        </w:rPr>
      </w:pPr>
      <w:r>
        <w:rPr>
          <w:sz w:val="24"/>
        </w:rPr>
        <w:t>Please contact me if you have any questions regarding the foregoing.</w:t>
      </w:r>
    </w:p>
    <w:p>
      <w:pPr>
        <w:pStyle w:val="Normal"/>
        <w:ind w:firstLine="720" w:end="0"/>
        <w:jc w:val="both"/>
        <w:rPr>
          <w:sz w:val="24"/>
        </w:rPr>
      </w:pPr>
      <w:r>
        <w:rPr>
          <w:sz w:val="24"/>
        </w:rPr>
      </w:r>
    </w:p>
    <w:p>
      <w:pPr>
        <w:pStyle w:val="Normal"/>
        <w:ind w:firstLine="720" w:end="0"/>
        <w:jc w:val="both"/>
        <w:rPr>
          <w:sz w:val="24"/>
        </w:rPr>
      </w:pPr>
      <w:r>
        <w:rPr>
          <w:sz w:val="24"/>
        </w:rPr>
        <w:tab/>
        <w:tab/>
        <w:tab/>
        <w:tab/>
        <w:t>Sincerely,</w:t>
      </w:r>
    </w:p>
    <w:p>
      <w:pPr>
        <w:pStyle w:val="Normal"/>
        <w:ind w:firstLine="720" w:end="0"/>
        <w:jc w:val="both"/>
        <w:rPr>
          <w:sz w:val="24"/>
        </w:rPr>
      </w:pPr>
      <w:r>
        <w:rPr>
          <w:sz w:val="24"/>
        </w:rPr>
      </w:r>
    </w:p>
    <w:p>
      <w:pPr>
        <w:pStyle w:val="Normal"/>
        <w:ind w:firstLine="720" w:end="0"/>
        <w:jc w:val="both"/>
        <w:rPr>
          <w:sz w:val="24"/>
        </w:rPr>
      </w:pPr>
      <w:r>
        <w:rPr>
          <w:sz w:val="24"/>
        </w:rPr>
      </w:r>
    </w:p>
    <w:p>
      <w:pPr>
        <w:pStyle w:val="Normal"/>
        <w:ind w:firstLine="720" w:end="0"/>
        <w:jc w:val="both"/>
        <w:rPr>
          <w:sz w:val="24"/>
        </w:rPr>
      </w:pPr>
      <w:r>
        <w:rPr>
          <w:sz w:val="24"/>
        </w:rPr>
      </w:r>
    </w:p>
    <w:p>
      <w:pPr>
        <w:pStyle w:val="Normal"/>
        <w:ind w:firstLine="720" w:end="0"/>
        <w:jc w:val="both"/>
        <w:rPr>
          <w:sz w:val="24"/>
        </w:rPr>
      </w:pPr>
      <w:r>
        <w:rPr>
          <w:sz w:val="24"/>
        </w:rPr>
        <w:tab/>
        <w:tab/>
        <w:tab/>
        <w:tab/>
        <w:t>Louis G. Schott</w:t>
      </w:r>
    </w:p>
    <w:p>
      <w:pPr>
        <w:pStyle w:val="Normal"/>
        <w:ind w:firstLine="720" w:end="0"/>
        <w:jc w:val="both"/>
        <w:rPr>
          <w:sz w:val="24"/>
        </w:rPr>
      </w:pPr>
      <w:r>
        <w:rPr>
          <w:sz w:val="24"/>
        </w:rPr>
        <w:tab/>
        <w:tab/>
        <w:tab/>
        <w:tab/>
        <w:t>Sr. Vice President &amp; General Counsel</w:t>
      </w:r>
    </w:p>
    <w:p>
      <w:pPr>
        <w:pStyle w:val="Normal"/>
        <w:ind w:firstLine="720" w:end="0"/>
        <w:jc w:val="both"/>
        <w:rPr>
          <w:sz w:val="24"/>
        </w:rPr>
      </w:pPr>
      <w:r>
        <w:rPr>
          <w:sz w:val="24"/>
        </w:rPr>
      </w:r>
    </w:p>
    <w:p>
      <w:pPr>
        <w:pStyle w:val="Normal"/>
        <w:jc w:val="both"/>
        <w:rPr>
          <w:sz w:val="24"/>
        </w:rPr>
      </w:pPr>
      <w:r>
        <w:rPr>
          <w:sz w:val="24"/>
        </w:rPr>
        <w:t>LGS/man</w:t>
      </w:r>
    </w:p>
    <w:p>
      <w:pPr>
        <w:pStyle w:val="Normal"/>
        <w:jc w:val="both"/>
        <w:rPr>
          <w:sz w:val="24"/>
        </w:rPr>
      </w:pPr>
      <w:r>
        <w:rPr>
          <w:sz w:val="24"/>
        </w:rPr>
      </w:r>
    </w:p>
    <w:p>
      <w:pPr>
        <w:pStyle w:val="Normal"/>
        <w:jc w:val="both"/>
        <w:rPr>
          <w:sz w:val="24"/>
        </w:rPr>
      </w:pPr>
      <w:r>
        <w:rPr>
          <w:sz w:val="24"/>
        </w:rPr>
        <w:t>cc:</w:t>
        <w:tab/>
        <w:t>Louis DiCarlo</w:t>
      </w:r>
    </w:p>
    <w:p>
      <w:pPr>
        <w:pStyle w:val="Normal"/>
        <w:ind w:firstLine="720" w:end="0"/>
        <w:jc w:val="both"/>
        <w:rPr>
          <w:sz w:val="24"/>
        </w:rPr>
      </w:pPr>
      <w:r>
        <w:rPr>
          <w:sz w:val="24"/>
        </w:rPr>
        <w:t xml:space="preserve">Enron North America </w:t>
      </w:r>
    </w:p>
    <w:p>
      <w:pPr>
        <w:pStyle w:val="Normal"/>
        <w:ind w:firstLine="720" w:end="0"/>
        <w:jc w:val="both"/>
        <w:rPr>
          <w:sz w:val="24"/>
        </w:rPr>
      </w:pPr>
      <w:r>
        <w:rPr>
          <w:sz w:val="24"/>
        </w:rPr>
        <w:t>P. O. Box 1188</w:t>
      </w:r>
    </w:p>
    <w:p>
      <w:pPr>
        <w:pStyle w:val="Normal"/>
        <w:ind w:firstLine="720" w:end="0"/>
        <w:jc w:val="both"/>
        <w:rPr>
          <w:sz w:val="24"/>
        </w:rPr>
      </w:pPr>
      <w:r>
        <w:rPr>
          <w:sz w:val="24"/>
        </w:rPr>
        <w:t>Houston Texas  77251-1188</w:t>
      </w:r>
    </w:p>
    <w:p>
      <w:pPr>
        <w:pStyle w:val="Normal"/>
        <w:ind w:firstLine="720" w:end="0"/>
        <w:jc w:val="both"/>
        <w:rPr>
          <w:sz w:val="24"/>
        </w:rPr>
      </w:pPr>
      <w:r>
        <w:rPr>
          <w:sz w:val="24"/>
        </w:rPr>
        <w:t>Fax (713-646-3037)</w:t>
      </w:r>
    </w:p>
    <w:p>
      <w:pPr>
        <w:pStyle w:val="Normal"/>
        <w:ind w:firstLine="720" w:end="0"/>
        <w:jc w:val="both"/>
        <w:rPr>
          <w:sz w:val="24"/>
        </w:rPr>
      </w:pPr>
      <w:r>
        <w:rPr>
          <w:sz w:val="24"/>
        </w:rPr>
      </w:r>
    </w:p>
    <w:p>
      <w:pPr>
        <w:pStyle w:val="Normal"/>
        <w:jc w:val="both"/>
        <w:rPr>
          <w:sz w:val="24"/>
        </w:rPr>
      </w:pPr>
      <w:r>
        <w:rPr>
          <w:sz w:val="24"/>
        </w:rPr>
        <w:t>cc:</w:t>
        <w:tab/>
        <w:t>Enron North America Corp.</w:t>
      </w:r>
    </w:p>
    <w:p>
      <w:pPr>
        <w:pStyle w:val="Normal"/>
        <w:ind w:firstLine="720" w:end="0"/>
        <w:jc w:val="both"/>
        <w:rPr>
          <w:sz w:val="24"/>
        </w:rPr>
      </w:pPr>
      <w:r>
        <w:rPr>
          <w:sz w:val="24"/>
        </w:rPr>
        <w:t>Billing Invoices and Accounting Matters</w:t>
      </w:r>
    </w:p>
    <w:p>
      <w:pPr>
        <w:pStyle w:val="Normal"/>
        <w:ind w:firstLine="720" w:end="0"/>
        <w:jc w:val="both"/>
        <w:rPr>
          <w:sz w:val="24"/>
        </w:rPr>
      </w:pPr>
      <w:r>
        <w:rPr>
          <w:sz w:val="24"/>
        </w:rPr>
        <w:t>P. O. Box 4428</w:t>
      </w:r>
    </w:p>
    <w:p>
      <w:pPr>
        <w:pStyle w:val="Normal"/>
        <w:ind w:firstLine="720" w:end="0"/>
        <w:jc w:val="both"/>
        <w:rPr>
          <w:sz w:val="24"/>
        </w:rPr>
      </w:pPr>
      <w:r>
        <w:rPr>
          <w:sz w:val="24"/>
        </w:rPr>
        <w:t>Houston, Texas 77210-4428</w:t>
      </w:r>
    </w:p>
    <w:p>
      <w:pPr>
        <w:pStyle w:val="Normal"/>
        <w:ind w:firstLine="720" w:end="0"/>
        <w:jc w:val="both"/>
        <w:rPr>
          <w:sz w:val="24"/>
        </w:rPr>
      </w:pPr>
      <w:r>
        <w:rPr>
          <w:sz w:val="24"/>
        </w:rPr>
        <w:t>Attention:  Client Services</w:t>
      </w:r>
    </w:p>
    <w:p>
      <w:pPr>
        <w:pStyle w:val="Normal"/>
        <w:jc w:val="both"/>
        <w:rPr>
          <w:sz w:val="24"/>
        </w:rPr>
      </w:pPr>
      <w:r>
        <w:rPr>
          <w:sz w:val="24"/>
        </w:rPr>
        <w:tab/>
        <w:t>Fax (713-646-8420)</w:t>
        <w:tab/>
      </w:r>
    </w:p>
    <w:p>
      <w:pPr>
        <w:pStyle w:val="Normal"/>
        <w:jc w:val="both"/>
        <w:rPr>
          <w:sz w:val="24"/>
        </w:rPr>
      </w:pPr>
      <w:r>
        <w:rPr>
          <w:sz w:val="24"/>
        </w:rPr>
      </w:r>
    </w:p>
    <w:p>
      <w:pPr>
        <w:pStyle w:val="Normal"/>
        <w:jc w:val="both"/>
        <w:rPr>
          <w:sz w:val="24"/>
        </w:rPr>
      </w:pPr>
      <w:r>
        <w:rPr>
          <w:sz w:val="24"/>
        </w:rPr>
        <w:t>cc:</w:t>
        <w:tab/>
        <w:t>Fred Lagrasta</w:t>
      </w:r>
    </w:p>
    <w:p>
      <w:pPr>
        <w:pStyle w:val="Normal"/>
        <w:ind w:firstLine="720" w:end="0"/>
        <w:jc w:val="both"/>
        <w:rPr>
          <w:sz w:val="24"/>
        </w:rPr>
      </w:pPr>
      <w:r>
        <w:rPr>
          <w:sz w:val="24"/>
        </w:rPr>
        <w:t>Vice President</w:t>
      </w:r>
    </w:p>
    <w:p>
      <w:pPr>
        <w:pStyle w:val="Normal"/>
        <w:ind w:firstLine="720" w:end="0"/>
        <w:jc w:val="both"/>
        <w:rPr>
          <w:sz w:val="24"/>
        </w:rPr>
      </w:pPr>
      <w:r>
        <w:rPr>
          <w:sz w:val="24"/>
        </w:rPr>
        <w:t xml:space="preserve">Enron North America </w:t>
      </w:r>
    </w:p>
    <w:p>
      <w:pPr>
        <w:pStyle w:val="Normal"/>
        <w:ind w:firstLine="720" w:end="0"/>
        <w:jc w:val="both"/>
        <w:rPr>
          <w:sz w:val="24"/>
        </w:rPr>
      </w:pPr>
      <w:r>
        <w:rPr>
          <w:sz w:val="24"/>
        </w:rPr>
        <w:t>P. O. Box 1188</w:t>
      </w:r>
    </w:p>
    <w:p>
      <w:pPr>
        <w:pStyle w:val="Normal"/>
        <w:ind w:firstLine="720" w:end="0"/>
        <w:jc w:val="both"/>
        <w:rPr>
          <w:sz w:val="24"/>
        </w:rPr>
      </w:pPr>
      <w:r>
        <w:rPr>
          <w:sz w:val="24"/>
        </w:rPr>
        <w:t>Houston Texas  77251-1188</w:t>
      </w:r>
    </w:p>
    <w:p>
      <w:pPr>
        <w:pStyle w:val="Normal"/>
        <w:ind w:firstLine="720" w:end="0"/>
        <w:jc w:val="both"/>
        <w:rPr>
          <w:sz w:val="24"/>
        </w:rPr>
      </w:pPr>
      <w:r>
        <w:rPr>
          <w:sz w:val="24"/>
        </w:rPr>
        <w:t>Fax (713-646-3018)</w:t>
      </w:r>
    </w:p>
    <w:p>
      <w:pPr>
        <w:pStyle w:val="Normal"/>
        <w:jc w:val="both"/>
        <w:rPr>
          <w:sz w:val="24"/>
        </w:rPr>
      </w:pPr>
      <w:r>
        <w:rPr>
          <w:sz w:val="24"/>
        </w:rPr>
      </w:r>
    </w:p>
    <w:p>
      <w:pPr>
        <w:pStyle w:val="Normal"/>
        <w:jc w:val="both"/>
        <w:rPr>
          <w:sz w:val="24"/>
        </w:rPr>
      </w:pPr>
      <w:r>
        <w:rPr>
          <w:sz w:val="24"/>
        </w:rPr>
        <w:t>cc:</w:t>
        <w:tab/>
        <w:t>Ed McMichael</w:t>
      </w:r>
    </w:p>
    <w:p>
      <w:pPr>
        <w:pStyle w:val="Normal"/>
        <w:jc w:val="both"/>
        <w:rPr>
          <w:sz w:val="24"/>
        </w:rPr>
      </w:pPr>
      <w:r>
        <w:rPr>
          <w:sz w:val="24"/>
        </w:rPr>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2002-02-19T18:20:00Z</dcterms:created>
  <dc:creator>Mary Ann Heltz Norvell</dc:creator>
  <dc:description/>
  <dc:language>en-CA</dc:language>
  <cp:lastModifiedBy>Computer</cp:lastModifiedBy>
  <cp:lastPrinted>2002-02-19T14:51:00Z</cp:lastPrinted>
  <dcterms:modified xsi:type="dcterms:W3CDTF">2002-02-19T19:07:00Z</dcterms:modified>
  <cp:revision>4</cp:revision>
  <dc:subject/>
  <dc:title/>
</cp:coreProperties>
</file>