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7174230</wp:posOffset>
                </wp:positionH>
                <wp:positionV relativeFrom="paragraph">
                  <wp:posOffset>4160520</wp:posOffset>
                </wp:positionV>
                <wp:extent cx="367665" cy="67691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7560" cy="676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autoSpaceDE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b/>
                                <w:i/>
                                <w:szCs w:val="20"/>
                                <w:rFonts w:ascii="Arial" w:hAnsi="Arial" w:eastAsia="Times New Roman" w:cs="Arial"/>
                                <w:color w:val="000000"/>
                                <w:lang w:val="en-US" w:bidi="ar-SA"/>
                              </w:rPr>
                              <w:t>5A-1</w:t>
                            </w:r>
                          </w:p>
                        </w:txbxContent>
                      </wps:txbx>
                      <wps:bodyPr wrap="square" lIns="45720" rIns="45720"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margin-left:564.9pt;margin-top:327.6pt;width:28.9pt;height:53.25pt;mso-wrap-style:none;v-text-anchor:middle;rotation:180" type="_x0000_t202">
                <v:textbox>
                  <w:txbxContent>
                    <w:p>
                      <w:pPr>
                        <w:tabs>
                          <w:tab w:val="left" w:pos="540" w:leader="none"/>
                        </w:tabs>
                        <w:overflowPunct w:val="false"/>
                        <w:autoSpaceDE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0"/>
                          <w:b/>
                          <w:i/>
                          <w:szCs w:val="20"/>
                          <w:rFonts w:ascii="Arial" w:hAnsi="Arial" w:eastAsia="Times New Roman" w:cs="Arial"/>
                          <w:color w:val="000000"/>
                          <w:lang w:val="en-US" w:bidi="ar-SA"/>
                        </w:rPr>
                        <w:t>5A-1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w:drawing>
          <wp:inline distT="0" distB="0" distL="0" distR="0">
            <wp:extent cx="995680" cy="989965"/>
            <wp:effectExtent l="0" t="0" r="0" b="0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The Finance Committee of the Board of Directors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 xml:space="preserve">Jeff Skilling and Rick Buy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Risk Assessment and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Recommended Changes to the Risk Management Policy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February 12, 2001</w:t>
            </w:r>
          </w:p>
        </w:tc>
      </w:tr>
    </w:tbl>
    <w:p>
      <w:pPr>
        <w:pStyle w:val="Department"/>
        <w:rPr>
          <w:color w:val="000080"/>
        </w:rPr>
      </w:pPr>
      <w:r>
        <w:rPr>
          <w:color w:val="000080"/>
        </w:rPr>
      </w:r>
      <w:bookmarkStart w:id="1" w:name="StartOfMemo"/>
      <w:bookmarkStart w:id="2" w:name="StartOfMemo"/>
      <w:bookmarkEnd w:id="2"/>
    </w:p>
    <w:p>
      <w:pPr>
        <w:pStyle w:val="Department"/>
        <w:rPr>
          <w:color w:val="000080"/>
        </w:rPr>
      </w:pPr>
      <w:r>
        <w:rPr>
          <w:color w:val="000080"/>
        </w:rPr>
      </w:r>
    </w:p>
    <w:p>
      <w:pPr>
        <w:pStyle w:val="Department"/>
        <w:numPr>
          <w:ilvl w:val="0"/>
          <w:numId w:val="4"/>
        </w:numPr>
        <w:tabs>
          <w:tab w:val="left" w:pos="1080" w:leader="none"/>
        </w:tabs>
        <w:ind w:hanging="360" w:start="1080" w:end="0"/>
        <w:rPr/>
      </w:pPr>
      <w:r>
        <w:rPr/>
        <w:t>We are recommending BOD approval of the following trading limits as amendments to the Risk Management Policy:</w:t>
      </w:r>
    </w:p>
    <w:p>
      <w:pPr>
        <w:pStyle w:val="Department"/>
        <w:ind w:start="1080" w:end="0"/>
        <w:rPr>
          <w:color w:val="000080"/>
        </w:rPr>
      </w:pPr>
      <w:r>
        <w:rPr>
          <w:color w:val="000080"/>
        </w:rPr>
      </w:r>
    </w:p>
    <w:p>
      <w:pPr>
        <w:pStyle w:val="Department"/>
        <w:ind w:start="7200" w:end="0"/>
        <w:rPr>
          <w:b/>
        </w:rPr>
      </w:pPr>
      <w:r>
        <w:rPr>
          <w:b/>
        </w:rPr>
        <w:tab/>
        <w:tab/>
        <w:tab/>
      </w:r>
    </w:p>
    <w:p>
      <w:pPr>
        <w:pStyle w:val="Department"/>
        <w:rPr>
          <w:b/>
        </w:rPr>
      </w:pPr>
      <w:r>
        <w:rPr>
          <w:b/>
        </w:rPr>
        <w:tab/>
        <w:tab/>
        <w:tab/>
        <w:tab/>
        <w:tab/>
        <w:tab/>
        <w:tab/>
        <w:t xml:space="preserve">Proposed </w:t>
        <w:tab/>
        <w:tab/>
        <w:tab/>
        <w:t>Existing</w:t>
      </w:r>
    </w:p>
    <w:p>
      <w:pPr>
        <w:pStyle w:val="Department"/>
        <w:rPr/>
      </w:pPr>
      <w:r>
        <w:rPr>
          <w:b/>
        </w:rPr>
        <w:tab/>
        <w:tab/>
        <w:tab/>
        <w:tab/>
        <w:tab/>
        <w:tab/>
        <w:tab/>
      </w:r>
      <w:r>
        <w:rPr>
          <w:b/>
          <w:u w:val="single"/>
        </w:rPr>
        <w:t xml:space="preserve">Permanent </w:t>
      </w:r>
      <w:r>
        <w:rPr>
          <w:b/>
        </w:rPr>
        <w:tab/>
        <w:tab/>
        <w:tab/>
      </w:r>
      <w:r>
        <w:rPr>
          <w:b/>
          <w:u w:val="single"/>
        </w:rPr>
        <w:t>Permanent</w:t>
      </w:r>
    </w:p>
    <w:p>
      <w:pPr>
        <w:pStyle w:val="Department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ind w:firstLine="360" w:start="720" w:end="0"/>
        <w:rPr>
          <w:b/>
        </w:rPr>
      </w:pPr>
      <w:r>
        <w:rPr>
          <w:b/>
        </w:rPr>
        <w:t xml:space="preserve">AGGREGATE VaR LIMIT </w:t>
        <w:tab/>
        <w:tab/>
        <w:tab/>
        <w:t>$125 MM</w:t>
        <w:tab/>
        <w:tab/>
        <w:tab/>
        <w:t>$100 MM</w:t>
      </w:r>
    </w:p>
    <w:p>
      <w:pPr>
        <w:pStyle w:val="Department"/>
        <w:ind w:firstLine="360" w:start="720" w:end="0"/>
        <w:rPr>
          <w:b/>
        </w:rPr>
      </w:pPr>
      <w:r>
        <w:rPr>
          <w:b/>
        </w:rPr>
      </w:r>
    </w:p>
    <w:p>
      <w:pPr>
        <w:pStyle w:val="Department"/>
        <w:ind w:firstLine="360" w:start="720" w:end="0"/>
        <w:rPr>
          <w:b/>
        </w:rPr>
      </w:pPr>
      <w:r>
        <w:rPr>
          <w:b/>
        </w:rPr>
        <w:t>Corporate Discretionary VaR Limit</w:t>
        <w:tab/>
        <w:t>$  25 MM</w:t>
        <w:tab/>
        <w:tab/>
        <w:tab/>
        <w:t>$  25 MM in Oct 2000</w:t>
      </w:r>
    </w:p>
    <w:p>
      <w:pPr>
        <w:pStyle w:val="Department"/>
        <w:ind w:firstLine="360" w:start="720" w:end="0"/>
        <w:rPr>
          <w:b/>
        </w:rPr>
      </w:pPr>
      <w:r>
        <w:rPr>
          <w:b/>
        </w:rPr>
      </w:r>
    </w:p>
    <w:p>
      <w:pPr>
        <w:pStyle w:val="Department"/>
        <w:ind w:firstLine="360" w:start="720" w:end="0"/>
        <w:rPr>
          <w:b/>
          <w:u w:val="single"/>
        </w:rPr>
      </w:pPr>
      <w:r>
        <w:rPr>
          <w:b/>
          <w:u w:val="single"/>
        </w:rPr>
        <w:t>European Natural Gas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>200 Bcf *</w:t>
        <w:tab/>
        <w:tab/>
        <w:tab/>
        <w:t>60 Bcf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90 Bcf 12-month (no change)</w:t>
        <w:tab/>
        <w:t>90 Bcf 12-month</w:t>
      </w:r>
    </w:p>
    <w:p>
      <w:pPr>
        <w:pStyle w:val="Department"/>
        <w:ind w:firstLine="360" w:start="720" w:end="0"/>
        <w:rPr/>
      </w:pPr>
      <w:r>
        <w:rPr/>
        <w:t xml:space="preserve">VaR Limit </w:t>
        <w:tab/>
        <w:tab/>
        <w:tab/>
        <w:tab/>
        <w:tab/>
        <w:t>$10 MM</w:t>
        <w:tab/>
        <w:tab/>
        <w:tab/>
        <w:t>$7.5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hanging="180" w:start="1260" w:end="0"/>
        <w:rPr/>
      </w:pPr>
      <w:r>
        <w:rPr/>
        <w:t>*  Temporary limit of 260 Bcf expired year end 2000; permanent limit requested above will be decreased when markets allow optimum management of the large position resulting from a BOD approved transaction</w:t>
      </w:r>
    </w:p>
    <w:p>
      <w:pPr>
        <w:pStyle w:val="Department"/>
        <w:ind w:start="1080" w:end="0"/>
        <w:rPr/>
      </w:pPr>
      <w:r>
        <w:rPr/>
      </w:r>
    </w:p>
    <w:p>
      <w:pPr>
        <w:pStyle w:val="Department"/>
        <w:ind w:firstLine="360" w:start="720" w:end="0"/>
        <w:rPr>
          <w:b/>
          <w:u w:val="single"/>
        </w:rPr>
      </w:pPr>
      <w:r>
        <w:rPr>
          <w:b/>
          <w:u w:val="single"/>
        </w:rPr>
        <w:t>Weather Derivatives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>40,000 EOL Equiv. Contracts</w:t>
        <w:tab/>
        <w:t>30,000 EOL Equiv. Contracts **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 xml:space="preserve"> </w:t>
        <w:tab/>
        <w:tab/>
        <w:t>N/A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$4.5 MM</w:t>
        <w:tab/>
        <w:tab/>
        <w:tab/>
        <w:t>$3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360" w:start="720" w:end="0"/>
        <w:rPr/>
      </w:pPr>
      <w:r>
        <w:rPr/>
        <w:t>**  $100 MM notional value</w:t>
      </w:r>
    </w:p>
    <w:p>
      <w:pPr>
        <w:pStyle w:val="Department"/>
        <w:ind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Coal and Freight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>30 MM MT</w:t>
        <w:tab/>
        <w:tab/>
        <w:tab/>
        <w:t>15 MM MT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30MM MT 12-month</w:t>
        <w:tab/>
        <w:tab/>
        <w:t>15 MM MT 12-month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$7 MM ***</w:t>
        <w:tab/>
        <w:tab/>
        <w:tab/>
        <w:t>$4 MM ***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360" w:start="720" w:end="0"/>
        <w:rPr/>
      </w:pPr>
      <w:r>
        <w:rPr/>
        <w:t>***  Freight limited to $2 MM VaR (no change)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Global Products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>18 MM Bbl</w:t>
        <w:tab/>
        <w:tab/>
        <w:tab/>
        <w:t>12.5 MM Bbl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19 MM Bbl 12-month</w:t>
        <w:tab/>
        <w:tab/>
        <w:t>15 MM Bbl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$15 MM ****</w:t>
        <w:tab/>
        <w:tab/>
        <w:tab/>
        <w:t>$8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360" w:start="720" w:end="0"/>
        <w:rPr/>
      </w:pPr>
      <w:r>
        <w:rPr/>
        <w:t>****  $4 MM VaR increase to $12 MM for regular Global Products trading, plus $3 MM VaR for EOL Crude trading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LNG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>9 Bcf</w:t>
        <w:tab/>
        <w:tab/>
        <w:tab/>
        <w:tab/>
        <w:t>None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12 Bcf 12-month</w:t>
        <w:tab/>
        <w:tab/>
        <w:t>None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$5 MM</w:t>
        <w:tab/>
        <w:tab/>
        <w:tab/>
        <w:tab/>
        <w:t>None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ind w:start="5760" w:end="0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ind w:start="5040" w:end="0"/>
        <w:rPr>
          <w:b/>
        </w:rPr>
      </w:pPr>
      <w:r>
        <w:rPr>
          <w:b/>
        </w:rPr>
        <w:t xml:space="preserve">Proposed </w:t>
        <w:tab/>
        <w:tab/>
        <w:tab/>
        <w:t>Existing</w:t>
      </w:r>
    </w:p>
    <w:p>
      <w:pPr>
        <w:pStyle w:val="Department"/>
        <w:ind w:firstLine="720" w:start="360" w:end="0"/>
        <w:rPr/>
      </w:pPr>
      <w:r>
        <w:rPr>
          <w:b/>
        </w:rPr>
        <w:tab/>
        <w:tab/>
        <w:tab/>
        <w:tab/>
        <w:tab/>
        <w:tab/>
      </w:r>
      <w:r>
        <w:rPr>
          <w:b/>
          <w:u w:val="single"/>
        </w:rPr>
        <w:t xml:space="preserve">Permanent </w:t>
      </w:r>
      <w:r>
        <w:rPr>
          <w:b/>
        </w:rPr>
        <w:tab/>
        <w:tab/>
        <w:tab/>
      </w:r>
      <w:r>
        <w:rPr>
          <w:b/>
          <w:u w:val="single"/>
        </w:rPr>
        <w:t>Permanent</w:t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Equity Trading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 xml:space="preserve">$200 MM </w:t>
        <w:tab/>
        <w:tab/>
        <w:tab/>
        <w:t xml:space="preserve">$100 MM 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N/A</w:t>
      </w:r>
    </w:p>
    <w:p>
      <w:pPr>
        <w:pStyle w:val="Department"/>
        <w:ind w:firstLine="720" w:start="360" w:end="0"/>
        <w:rPr/>
      </w:pPr>
      <w:r>
        <w:rPr/>
        <w:t>VaR Limit</w:t>
        <w:tab/>
        <w:tab/>
        <w:tab/>
        <w:tab/>
        <w:tab/>
        <w:t>$10 MM</w:t>
        <w:tab/>
        <w:tab/>
        <w:tab/>
        <w:t>$6 MM</w:t>
      </w:r>
      <w:r>
        <w:rPr>
          <w:b/>
          <w:u w:val="single"/>
        </w:rPr>
        <w:t xml:space="preserve"> </w:t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Convertible Arbitrage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 xml:space="preserve">$150 MM </w:t>
        <w:tab/>
        <w:tab/>
        <w:tab/>
        <w:t>*****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*****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$2 MM</w:t>
        <w:tab/>
        <w:tab/>
        <w:tab/>
        <w:tab/>
        <w:t>*****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hanging="540" w:start="1620" w:end="0"/>
        <w:rPr/>
      </w:pPr>
      <w:r>
        <w:rPr/>
        <w:t>*****  This product was included in the Debt trading commodity group that was transferred to Enron Europe and combined with Credit trading in December 2000; new limits requested to establish separate commodity group in Global Markets in 2001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Financial Instruments</w:t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ind w:firstLine="720" w:start="360" w:end="0"/>
        <w:rPr>
          <w:i/>
          <w:i/>
          <w:sz w:val="18"/>
        </w:rPr>
      </w:pPr>
      <w:r>
        <w:rPr>
          <w:i/>
          <w:sz w:val="18"/>
        </w:rPr>
        <w:t>Foreign Currency:</w:t>
      </w:r>
    </w:p>
    <w:p>
      <w:pPr>
        <w:pStyle w:val="Department"/>
        <w:ind w:firstLine="720" w:start="360" w:end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 xml:space="preserve">$150 MM </w:t>
        <w:tab/>
        <w:tab/>
        <w:tab/>
        <w:t>$100 MM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N/A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360" w:start="720" w:end="0"/>
        <w:rPr>
          <w:i/>
          <w:i/>
          <w:sz w:val="1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7174230</wp:posOffset>
                </wp:positionH>
                <wp:positionV relativeFrom="paragraph">
                  <wp:posOffset>635</wp:posOffset>
                </wp:positionV>
                <wp:extent cx="367665" cy="67691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7560" cy="676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autoSpaceDE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b/>
                                <w:i/>
                                <w:szCs w:val="20"/>
                                <w:rFonts w:ascii="Arial" w:hAnsi="Arial" w:eastAsia="Times New Roman" w:cs="Arial"/>
                                <w:color w:val="000000"/>
                                <w:lang w:val="en-US" w:bidi="ar-SA"/>
                              </w:rPr>
                              <w:t>5A-2</w:t>
                            </w:r>
                          </w:p>
                        </w:txbxContent>
                      </wps:txbx>
                      <wps:bodyPr wrap="square" lIns="45720" rIns="45720"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564.9pt;margin-top:0pt;width:28.9pt;height:53.25pt;mso-wrap-style:none;v-text-anchor:middle;rotation:180" type="_x0000_t202">
                <v:textbox>
                  <w:txbxContent>
                    <w:p>
                      <w:pPr>
                        <w:tabs>
                          <w:tab w:val="left" w:pos="540" w:leader="none"/>
                        </w:tabs>
                        <w:overflowPunct w:val="false"/>
                        <w:autoSpaceDE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0"/>
                          <w:b/>
                          <w:i/>
                          <w:szCs w:val="20"/>
                          <w:rFonts w:ascii="Arial" w:hAnsi="Arial" w:eastAsia="Times New Roman" w:cs="Arial"/>
                          <w:color w:val="000000"/>
                          <w:lang w:val="en-US" w:bidi="ar-SA"/>
                        </w:rPr>
                        <w:t>5A-2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rPr>
          <w:i/>
          <w:sz w:val="18"/>
        </w:rPr>
        <w:t>Interest Rate:</w:t>
      </w:r>
    </w:p>
    <w:p>
      <w:pPr>
        <w:pStyle w:val="Department"/>
        <w:ind w:firstLine="360" w:start="720" w:end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 xml:space="preserve">$250,000/bp </w:t>
        <w:tab/>
        <w:tab/>
        <w:tab/>
        <w:t>$100,000/bp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$  50,000/bp(&lt;=2 yrs)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$5 MM</w:t>
        <w:tab/>
        <w:t>(Combined)</w:t>
        <w:tab/>
        <w:tab/>
        <w:t>$3 MM (Combined)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Soft Commodities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 xml:space="preserve">4,000 Contracts </w:t>
        <w:tab/>
        <w:tab/>
        <w:t>2,000 Contracts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2,000 Contracts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$2 MM</w:t>
        <w:tab/>
        <w:tab/>
        <w:tab/>
        <w:tab/>
        <w:t>$0.75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Grains</w:t>
      </w:r>
    </w:p>
    <w:p>
      <w:pPr>
        <w:pStyle w:val="Department"/>
        <w:ind w:firstLine="720" w:start="360" w:end="0"/>
        <w:rPr/>
      </w:pPr>
      <w:r>
        <w:rPr/>
        <w:t>Net Open Position Limit</w:t>
        <w:tab/>
        <w:tab/>
        <w:tab/>
        <w:t>750 Contracts</w:t>
        <w:tab/>
        <w:tab/>
        <w:tab/>
        <w:t>1,000 Contracts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1,000 Contracts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$0.5 MM</w:t>
        <w:tab/>
        <w:tab/>
        <w:tab/>
        <w:t>$0.5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Meats (formerly called Livestock)</w:t>
      </w:r>
    </w:p>
    <w:p>
      <w:pPr>
        <w:pStyle w:val="Department"/>
        <w:ind w:firstLine="720" w:start="360" w:end="0"/>
        <w:rPr/>
      </w:pPr>
      <w:r>
        <w:rPr/>
        <w:t>Net Open Position Limit</w:t>
        <w:tab/>
        <w:tab/>
        <w:tab/>
        <w:t>750 Contracts</w:t>
        <w:tab/>
        <w:tab/>
        <w:tab/>
        <w:t>1,000 Contracts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1,000 Contracts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$0.5 MM</w:t>
        <w:tab/>
        <w:tab/>
        <w:tab/>
        <w:t>$0.75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Advertising Swaps</w:t>
      </w:r>
    </w:p>
    <w:p>
      <w:pPr>
        <w:pStyle w:val="Department"/>
        <w:ind w:firstLine="720" w:start="360" w:end="0"/>
        <w:rPr/>
      </w:pPr>
      <w:r>
        <w:rPr/>
        <w:t>Benchmark</w:t>
        <w:tab/>
        <w:tab/>
        <w:tab/>
        <w:tab/>
        <w:tab/>
        <w:t>New York A1849 PR CPP</w:t>
        <w:tab/>
        <w:t>Houston CPP</w:t>
      </w:r>
    </w:p>
    <w:p>
      <w:pPr>
        <w:pStyle w:val="Department"/>
        <w:ind w:firstLine="720" w:start="360" w:end="0"/>
        <w:rPr/>
      </w:pPr>
      <w:r>
        <w:rPr/>
        <w:t>Net Open Position Limit</w:t>
        <w:tab/>
        <w:tab/>
        <w:tab/>
        <w:t>54 CPP</w:t>
        <w:tab/>
        <w:tab/>
        <w:tab/>
        <w:tab/>
        <w:t>782 CPP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108 CPP</w:t>
        <w:tab/>
        <w:tab/>
        <w:tab/>
        <w:t>782 CPP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$2 MM</w:t>
        <w:tab/>
        <w:tab/>
        <w:tab/>
        <w:tab/>
        <w:t>$1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NA Portfolio Management</w:t>
      </w:r>
    </w:p>
    <w:p>
      <w:pPr>
        <w:pStyle w:val="Department"/>
        <w:ind w:firstLine="720" w:start="360" w:end="0"/>
        <w:rPr/>
      </w:pPr>
      <w:r>
        <w:rPr/>
        <w:t>Net Open Position Limit</w:t>
        <w:tab/>
        <w:tab/>
        <w:tab/>
        <w:t>N/A</w:t>
        <w:tab/>
        <w:tab/>
        <w:tab/>
        <w:tab/>
        <w:t>N/A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N/A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 xml:space="preserve">Terminated </w:t>
        <w:tab/>
        <w:tab/>
        <w:tab/>
        <w:t>$5 MM</w:t>
      </w:r>
    </w:p>
    <w:p>
      <w:pPr>
        <w:pStyle w:val="Department"/>
        <w:ind w:firstLine="360" w:start="720" w:end="0"/>
        <w:rPr/>
      </w:pPr>
      <w:r>
        <w:rPr/>
      </w:r>
      <w:r>
        <w:br w:type="page"/>
      </w:r>
    </w:p>
    <w:p>
      <w:pPr>
        <w:pStyle w:val="Department"/>
        <w:numPr>
          <w:ilvl w:val="0"/>
          <w:numId w:val="4"/>
        </w:numPr>
        <w:tabs>
          <w:tab w:val="left" w:pos="1080" w:leader="none"/>
        </w:tabs>
        <w:ind w:hanging="360" w:start="1080" w:end="0"/>
        <w:rPr>
          <w:lang w:eastAsia="en-US"/>
        </w:rPr>
      </w:pPr>
      <w:r>
        <w:rPr/>
        <w:t xml:space="preserve">We are recommending BOD approval of the following </w:t>
      </w:r>
      <w:r>
        <w:rPr>
          <w:color w:val="000000"/>
          <w:lang w:eastAsia="en-US"/>
        </w:rPr>
        <w:t>amendments to the Risk Management Policy</w:t>
      </w:r>
      <w:r>
        <w:rPr>
          <w:lang w:eastAsia="en-US"/>
        </w:rPr>
        <w:t xml:space="preserve">: </w:t>
      </w:r>
    </w:p>
    <w:p>
      <w:pPr>
        <w:pStyle w:val="Normal"/>
        <w:ind w:hanging="540" w:start="540" w:end="0"/>
        <w:rPr>
          <w:b/>
          <w:color w:val="000000"/>
          <w:sz w:val="22"/>
          <w:lang w:eastAsia="en-US"/>
        </w:rPr>
      </w:pPr>
      <w:r>
        <w:rPr>
          <w:b/>
          <w:color w:val="000000"/>
          <w:sz w:val="22"/>
          <w:lang w:eastAsia="en-US"/>
        </w:rPr>
      </w:r>
    </w:p>
    <w:p>
      <w:pPr>
        <w:pStyle w:val="Normal"/>
        <w:numPr>
          <w:ilvl w:val="0"/>
          <w:numId w:val="5"/>
        </w:numPr>
        <w:tabs>
          <w:tab w:val="left" w:pos="540" w:leader="none"/>
          <w:tab w:val="left" w:pos="1080" w:leader="none"/>
        </w:tabs>
        <w:ind w:hanging="360" w:start="108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Provide for notification of limit violations and loss notifications to the President and CEO at the discretion of the Chief Risk Officer, rather than the existing structured reporting.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7"/>
        </w:numPr>
        <w:ind w:hanging="450" w:start="153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Maintain commodity level automatic loss notification and limit violation requirements to Business Unit Office of the Chairman: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8"/>
        </w:numPr>
        <w:ind w:hanging="360" w:start="225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Daily Loss &gt; 100% VaR Limit; Cumulative 5-day Loss &gt; 125% VaR Limit</w:t>
      </w:r>
    </w:p>
    <w:p>
      <w:pPr>
        <w:pStyle w:val="Normal"/>
        <w:numPr>
          <w:ilvl w:val="0"/>
          <w:numId w:val="8"/>
        </w:numPr>
        <w:ind w:hanging="360" w:start="225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 xml:space="preserve">Net Open Position, Maturity/Gap, VaR &gt; 105% VaR Limit; 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7"/>
        </w:numPr>
        <w:ind w:hanging="450" w:start="153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Maintain Aggregate Daily Loss and Aggregate VaR Limit notifications to President, CEO, Chairman of the Board, and Chairman of Finance Committee: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8"/>
        </w:numPr>
        <w:ind w:hanging="360" w:start="2250" w:end="0"/>
        <w:rPr>
          <w:color w:val="000000"/>
          <w:sz w:val="20"/>
          <w:lang w:eastAsia="en-US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7174230</wp:posOffset>
                </wp:positionH>
                <wp:positionV relativeFrom="paragraph">
                  <wp:posOffset>1550670</wp:posOffset>
                </wp:positionV>
                <wp:extent cx="367665" cy="67691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7560" cy="676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autoSpaceDE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b/>
                                <w:i/>
                                <w:szCs w:val="20"/>
                                <w:rFonts w:ascii="Arial" w:hAnsi="Arial" w:eastAsia="Times New Roman" w:cs="Arial"/>
                                <w:color w:val="000000"/>
                                <w:lang w:val="en-US" w:bidi="ar-SA"/>
                              </w:rPr>
                              <w:t>5A-3</w:t>
                            </w:r>
                          </w:p>
                        </w:txbxContent>
                      </wps:txbx>
                      <wps:bodyPr wrap="square" lIns="45720" rIns="45720"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564.9pt;margin-top:122.1pt;width:28.9pt;height:53.25pt;mso-wrap-style:none;v-text-anchor:middle;rotation:180" type="_x0000_t202">
                <v:textbox>
                  <w:txbxContent>
                    <w:p>
                      <w:pPr>
                        <w:tabs>
                          <w:tab w:val="left" w:pos="540" w:leader="none"/>
                        </w:tabs>
                        <w:overflowPunct w:val="false"/>
                        <w:autoSpaceDE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0"/>
                          <w:b/>
                          <w:i/>
                          <w:szCs w:val="20"/>
                          <w:rFonts w:ascii="Arial" w:hAnsi="Arial" w:eastAsia="Times New Roman" w:cs="Arial"/>
                          <w:color w:val="000000"/>
                          <w:lang w:val="en-US" w:bidi="ar-SA"/>
                        </w:rPr>
                        <w:t>5A-3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rPr>
          <w:color w:val="000000"/>
          <w:sz w:val="20"/>
          <w:lang w:eastAsia="en-US"/>
        </w:rPr>
        <w:t>Daily Loss &gt; 100% Aggregate VaR Limit</w:t>
      </w:r>
    </w:p>
    <w:p>
      <w:pPr>
        <w:pStyle w:val="Normal"/>
        <w:numPr>
          <w:ilvl w:val="0"/>
          <w:numId w:val="8"/>
        </w:numPr>
        <w:ind w:hanging="360" w:start="225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Aggregate VaR &gt; 115% of Aggregate VaR Limit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1080" w:leader="none"/>
        </w:tabs>
        <w:ind w:hanging="360" w:start="108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Delegate to the Chief Risk Officer the authority for Discretionary VaR allocation to facilitate a new market driven allocation framework, rather than requiring both the Chief Risk Officer and the President to approve.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7"/>
        </w:numPr>
        <w:ind w:hanging="450" w:start="153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Refine the calculation of Discretionary VaR available for allocation to consider portfolio diversification effect, VaR utilization, and other significant factors as determined by the Chief Risk Officer.</w:t>
      </w:r>
    </w:p>
    <w:p>
      <w:pPr>
        <w:pStyle w:val="Normal"/>
        <w:ind w:hanging="540" w:start="54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6"/>
        </w:numPr>
        <w:tabs>
          <w:tab w:val="clear" w:pos="540"/>
          <w:tab w:val="left" w:pos="1080" w:leader="none"/>
        </w:tabs>
        <w:ind w:hanging="360" w:start="108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Clarify the cross-commodity trading policy to specify that trading limits are to be applied against Enron’s consolidated commodity positions on an individual commodity group basis;  Enron’s consolidated Daily Position Report should provide required market risk disclosures by primary commodity group; (for example, Enron’s exposure to the North American Natural Gas market shall be aggregated across the company).</w:t>
      </w:r>
    </w:p>
    <w:p>
      <w:pPr>
        <w:pStyle w:val="Normal"/>
        <w:tabs>
          <w:tab w:val="clear" w:pos="540"/>
        </w:tabs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7"/>
        </w:numPr>
        <w:ind w:hanging="450" w:start="1530" w:end="0"/>
        <w:rPr>
          <w:color w:val="000000"/>
          <w:lang w:eastAsia="en-US"/>
        </w:rPr>
      </w:pPr>
      <w:r>
        <w:rPr>
          <w:color w:val="000000"/>
          <w:sz w:val="20"/>
          <w:lang w:eastAsia="en-US"/>
        </w:rPr>
        <w:t>Delegate cross-commodity trading approval among established commodity groups to the respective Business Units Offices of the Chairman, with appropriate reporting to the Enron Corp. Chief Risk Officer.</w:t>
      </w:r>
    </w:p>
    <w:p>
      <w:pPr>
        <w:pStyle w:val="Normal"/>
        <w:ind w:hanging="450" w:start="117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3"/>
        </w:numPr>
        <w:tabs>
          <w:tab w:val="left" w:pos="540" w:leader="none"/>
          <w:tab w:val="left" w:pos="1080" w:leader="none"/>
        </w:tabs>
        <w:ind w:hanging="360" w:start="108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Specify the operational control requirement that all trades executed over the telephone must be recorded electronically.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259" w:right="36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Monotype Sort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 xml:space="preserve">            Integrity</w:t>
      <w:tab/>
      <w:t>Communication</w:t>
      <w:tab/>
      <w:t xml:space="preserve">                 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sz w:val="20"/>
      </w:rPr>
    </w:pPr>
    <w:r>
      <w:rPr>
        <w:sz w:val="20"/>
      </w:rPr>
      <w:t>The Finance Committee of the Board of Directors</w:t>
      <w:tab/>
      <w:t>February 12, 2001</w:t>
      <w:tab/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4</w:t>
    </w:r>
    <w:r>
      <w:rPr>
        <w:rStyle w:val="PageNumber"/>
        <w:sz w:val="20"/>
      </w:rPr>
      <w:fldChar w:fldCharType="end"/>
    </w:r>
  </w:p>
  <w:p>
    <w:pPr>
      <w:pStyle w:val="Header"/>
      <w:rPr>
        <w:rStyle w:val="PageNumber"/>
        <w:sz w:val="20"/>
      </w:rPr>
    </w:pPr>
    <w:r>
      <w:rPr/>
    </w:r>
  </w:p>
  <w:p>
    <w:pPr>
      <w:pStyle w:val="Header"/>
      <w:rPr>
        <w:rStyle w:val="PageNumber"/>
        <w:sz w:val="20"/>
      </w:rPr>
    </w:pPr>
    <w:r>
      <w:rPr/>
    </w:r>
  </w:p>
  <w:p>
    <w:pPr>
      <w:pStyle w:val="Header"/>
      <w:rPr>
        <w:rStyle w:val="PageNumber"/>
        <w:sz w:val="20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658495"/>
              <wp:effectExtent l="0" t="0" r="0" b="0"/>
              <wp:wrapSquare wrapText="bothSides"/>
              <wp:docPr id="5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"/>
      <w:lvlJc w:val="start"/>
      <w:pPr>
        <w:tabs>
          <w:tab w:val="num" w:pos="360"/>
        </w:tabs>
        <w:ind w:start="0" w:hanging="0"/>
      </w:pPr>
      <w:rPr>
        <w:rFonts w:ascii="Monotype Sorts" w:hAnsi="Monotype Sorts" w:cs="Monotype Sorts" w:hint="default"/>
        <w:sz w:val="20"/>
      </w:rPr>
    </w:lvl>
  </w:abstractNum>
  <w:abstractNum w:abstractNumId="3">
    <w:lvl w:ilvl="0">
      <w:numFmt w:val="bullet"/>
      <w:lvlText w:val=""/>
      <w:lvlJc w:val="start"/>
      <w:pPr>
        <w:tabs>
          <w:tab w:val="num" w:pos="360"/>
        </w:tabs>
        <w:ind w:start="0" w:hanging="0"/>
      </w:pPr>
      <w:rPr>
        <w:rFonts w:ascii="Monotype Sorts" w:hAnsi="Monotype Sorts" w:cs="Monotype Sorts" w:hint="default"/>
        <w:sz w:val="20"/>
      </w:rPr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5">
    <w:lvl w:ilvl="0">
      <w:numFmt w:val="bullet"/>
      <w:lvlText w:val=""/>
      <w:lvlJc w:val="start"/>
      <w:pPr>
        <w:tabs>
          <w:tab w:val="num" w:pos="360"/>
        </w:tabs>
        <w:ind w:start="0" w:hanging="0"/>
      </w:pPr>
      <w:rPr>
        <w:rFonts w:ascii="Monotype Sorts" w:hAnsi="Monotype Sorts" w:cs="Monotype Sorts" w:hint="default"/>
        <w:sz w:val="20"/>
      </w:rPr>
    </w:lvl>
  </w:abstractNum>
  <w:abstractNum w:abstractNumId="6">
    <w:lvl w:ilvl="0">
      <w:numFmt w:val="bullet"/>
      <w:lvlText w:val=""/>
      <w:lvlJc w:val="start"/>
      <w:pPr>
        <w:tabs>
          <w:tab w:val="num" w:pos="360"/>
        </w:tabs>
        <w:ind w:start="0" w:hanging="0"/>
      </w:pPr>
      <w:rPr>
        <w:rFonts w:ascii="Monotype Sorts" w:hAnsi="Monotype Sorts" w:cs="Monotype Sorts" w:hint="default"/>
        <w:sz w:val="20"/>
      </w:rPr>
    </w:lvl>
  </w:abstractNum>
  <w:abstractNum w:abstractNumId="7">
    <w:lvl w:ilvl="0">
      <w:numFmt w:val="bullet"/>
      <w:lvlText w:val="–"/>
      <w:lvlJc w:val="start"/>
      <w:pPr>
        <w:tabs>
          <w:tab w:val="num" w:pos="0"/>
        </w:tabs>
        <w:ind w:start="0" w:hanging="0"/>
      </w:pPr>
      <w:rPr>
        <w:rFonts w:ascii="Arial" w:hAnsi="Arial" w:cs="Arial" w:hint="default"/>
        <w:sz w:val="26"/>
      </w:rPr>
    </w:lvl>
  </w:abstractNum>
  <w:abstractNum w:abstractNumId="8">
    <w:lvl w:ilvl="0"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Arial" w:hAnsi="Arial" w:cs="Arial" w:hint="default"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Arial" w:hAnsi="Arial" w:cs="Arial"/>
      <w:sz w:val="26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Monotype Sorts" w:hAnsi="Monotype Sorts" w:cs="Monotype Sorts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Arial" w:hAnsi="Arial" w:cs="Arial"/>
      <w:sz w:val="26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Monotype Sorts" w:hAnsi="Monotype Sorts" w:cs="Monotype Sorts"/>
      <w:sz w:val="20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  <w:color w:val="auto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Monotype Sorts" w:hAnsi="Monotype Sorts" w:cs="Monotype Sorts"/>
      <w:sz w:val="20"/>
    </w:rPr>
  </w:style>
  <w:style w:type="character" w:styleId="WW8Num49z0">
    <w:name w:val="WW8Num49z0"/>
    <w:qFormat/>
    <w:rPr>
      <w:rFonts w:ascii="Wingdings" w:hAnsi="Wingdings" w:cs="Wingdings"/>
    </w:rPr>
  </w:style>
  <w:style w:type="character" w:styleId="WW8Num50z0">
    <w:name w:val="WW8Num50z0"/>
    <w:qFormat/>
    <w:rPr>
      <w:rFonts w:ascii="Monotype Sorts" w:hAnsi="Monotype Sorts" w:cs="Monotype Sorts"/>
      <w:sz w:val="20"/>
    </w:rPr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1z3">
    <w:name w:val="WW8Num51z3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Wingdings" w:hAnsi="Wingdings" w:cs="Wingdings"/>
    </w:rPr>
  </w:style>
  <w:style w:type="character" w:styleId="WW8Num56z0">
    <w:name w:val="WW8Num56z0"/>
    <w:qFormat/>
    <w:rPr>
      <w:rFonts w:ascii="Wingdings" w:hAnsi="Wingdings" w:cs="Wingdings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Wingdings" w:hAnsi="Wingdings" w:cs="Wingdings"/>
    </w:rPr>
  </w:style>
  <w:style w:type="character" w:styleId="WW8Num62z0">
    <w:name w:val="WW8Num62z0"/>
    <w:qFormat/>
    <w:rPr>
      <w:rFonts w:ascii="Monotype Sorts" w:hAnsi="Monotype Sorts" w:cs="Monotype Sorts"/>
      <w:sz w:val="20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WW8Num64z0">
    <w:name w:val="WW8Num64z0"/>
    <w:qFormat/>
    <w:rPr>
      <w:rFonts w:ascii="Wingdings" w:hAnsi="Wingdings" w:cs="Wingdings"/>
    </w:rPr>
  </w:style>
  <w:style w:type="character" w:styleId="WW8Num65z0">
    <w:name w:val="WW8Num65z0"/>
    <w:qFormat/>
    <w:rPr>
      <w:rFonts w:ascii="Symbol" w:hAnsi="Symbol" w:cs="Symbol"/>
      <w:color w:val="auto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  <w:color w:val="auto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Wingdings" w:hAnsi="Wingdings" w:cs="Wingdings"/>
    </w:rPr>
  </w:style>
  <w:style w:type="character" w:styleId="WW8Num76z0">
    <w:name w:val="WW8Num76z0"/>
    <w:qFormat/>
    <w:rPr>
      <w:rFonts w:ascii="Symbol" w:hAnsi="Symbol" w:cs="Symbol"/>
      <w:color w:val="auto"/>
    </w:rPr>
  </w:style>
  <w:style w:type="character" w:styleId="WW8Num77z0">
    <w:name w:val="WW8Num77z0"/>
    <w:qFormat/>
    <w:rPr>
      <w:rFonts w:ascii="Symbol" w:hAnsi="Symbol" w:cs="Symbol"/>
      <w:color w:val="auto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Wingdings" w:hAnsi="Wingdings" w:cs="Wingdings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St61z0">
    <w:name w:val="WW8NumSt61z0"/>
    <w:qFormat/>
    <w:rPr>
      <w:rFonts w:ascii="Monotype Sorts" w:hAnsi="Monotype Sorts" w:cs="Monotype Sorts"/>
      <w:sz w:val="26"/>
    </w:rPr>
  </w:style>
  <w:style w:type="character" w:styleId="WW8NumSt62z0">
    <w:name w:val="WW8NumSt62z0"/>
    <w:qFormat/>
    <w:rPr>
      <w:rFonts w:ascii="Arial" w:hAnsi="Arial" w:cs="Arial"/>
      <w:sz w:val="26"/>
    </w:rPr>
  </w:style>
  <w:style w:type="character" w:styleId="WW8NumSt80z0">
    <w:name w:val="WW8NumSt80z0"/>
    <w:qFormat/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2001-02-05T18:13:00Z</dcterms:created>
  <dc:creator>Jeff Ford</dc:creator>
  <dc:description/>
  <dc:language>en-CA</dc:language>
  <cp:lastModifiedBy>Matthew Adams</cp:lastModifiedBy>
  <cp:lastPrinted>2001-02-05T14:37:00Z</cp:lastPrinted>
  <dcterms:modified xsi:type="dcterms:W3CDTF">2001-02-05T18:13:00Z</dcterms:modified>
  <cp:revision>2</cp:revision>
  <dc:subject/>
  <dc:title>Eron Capital &amp; Trade Resources Memo</dc:title>
</cp:coreProperties>
</file>