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CO-MARKETING AGREEMENT</w:t>
      </w:r>
    </w:p>
    <w:p>
      <w:pPr>
        <w:pStyle w:val="VEBodyText"/>
        <w:jc w:val="center"/>
        <w:rPr/>
      </w:pPr>
      <w:r>
        <w:rPr>
          <w:b/>
          <w:bCs/>
        </w:rPr>
        <w:t>between</w:t>
      </w:r>
    </w:p>
    <w:p>
      <w:pPr>
        <w:pStyle w:val="VEBodyText"/>
        <w:jc w:val="center"/>
        <w:rPr>
          <w:b/>
          <w:bCs/>
        </w:rPr>
      </w:pPr>
      <w:r>
        <w:rPr>
          <w:b/>
          <w:bCs/>
        </w:rPr>
        <w:t>Kiodex, Inc.</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tabs>
              <w:tab w:val="clear" w:pos="720"/>
              <w:tab w:val="right" w:pos="8702" w:leader="dot"/>
            </w:tabs>
            <w:rPr>
              <w:bCs w:val="false"/>
              <w:caps w:val="false"/>
              <w:smallCaps w:val="false"/>
              <w:szCs w:val="24"/>
              <w:lang w:val="en-CA" w:eastAsia="en-CA"/>
            </w:rPr>
          </w:pPr>
          <w:r>
            <w:fldChar w:fldCharType="begin"/>
          </w:r>
          <w:r>
            <w:rPr>
              <w:lang w:val="en-CA" w:eastAsia="en-CA"/>
            </w:rPr>
            <w:instrText xml:space="preserve"> TOC \o "1-2"\n 1-1 \z </w:instrText>
          </w:r>
          <w:r>
            <w:rPr>
              <w:lang w:val="en-CA" w:eastAsia="en-CA"/>
            </w:rPr>
            <w:fldChar w:fldCharType="separate"/>
          </w:r>
          <w:r>
            <w:rPr>
              <w:lang w:val="en-CA" w:eastAsia="en-CA"/>
            </w:rPr>
            <w:t>ARTICLE I: DEFINITIONS</w:t>
          </w:r>
        </w:p>
        <w:p>
          <w:pPr>
            <w:pStyle w:val="TOC2"/>
            <w:tabs>
              <w:tab w:val="left" w:pos="720" w:leader="none"/>
              <w:tab w:val="right" w:pos="8702" w:leader="dot"/>
            </w:tabs>
            <w:rPr>
              <w:bCs w:val="false"/>
              <w:lang w:val="en-CA" w:eastAsia="en-CA"/>
            </w:rPr>
          </w:pPr>
          <w:r>
            <w:rPr>
              <w:lang w:val="en-CA" w:eastAsia="en-CA"/>
            </w:rPr>
            <w:t>1.1</w:t>
          </w:r>
          <w:r>
            <w:rPr>
              <w:bCs w:val="false"/>
              <w:lang w:val="en-CA" w:eastAsia="en-CA"/>
            </w:rPr>
            <w:tab/>
          </w:r>
          <w:r>
            <w:rPr>
              <w:lang w:val="en-CA" w:eastAsia="en-CA"/>
            </w:rPr>
            <w:t>Definitions</w:t>
            <w:tab/>
          </w:r>
          <w:hyperlink w:anchor="__RefHeading___Toc507407859">
            <w:r>
              <w:rPr>
                <w:rStyle w:val="IndexLink"/>
                <w:lang w:val="en-CA" w:eastAsia="en-CA"/>
              </w:rPr>
              <w:t>1</w:t>
            </w:r>
          </w:hyperlink>
        </w:p>
        <w:p>
          <w:pPr>
            <w:pStyle w:val="TOC2"/>
            <w:tabs>
              <w:tab w:val="left" w:pos="720" w:leader="none"/>
              <w:tab w:val="right" w:pos="8702" w:leader="dot"/>
            </w:tabs>
            <w:rPr>
              <w:bCs w:val="false"/>
              <w:lang w:val="en-CA" w:eastAsia="en-CA"/>
            </w:rPr>
          </w:pPr>
          <w:r>
            <w:rPr>
              <w:lang w:val="en-CA" w:eastAsia="en-CA"/>
            </w:rPr>
            <w:t>1.2</w:t>
          </w:r>
          <w:r>
            <w:rPr>
              <w:bCs w:val="false"/>
              <w:lang w:val="en-CA" w:eastAsia="en-CA"/>
            </w:rPr>
            <w:tab/>
          </w:r>
          <w:r>
            <w:rPr>
              <w:lang w:val="en-CA" w:eastAsia="en-CA"/>
            </w:rPr>
            <w:t>Cross References</w:t>
            <w:tab/>
          </w:r>
          <w:hyperlink w:anchor="__RefHeading___Toc507407860">
            <w:r>
              <w:rPr>
                <w:rStyle w:val="IndexLink"/>
                <w:lang w:val="en-CA" w:eastAsia="en-CA"/>
              </w:rPr>
              <w:t>6</w:t>
            </w:r>
          </w:hyperlink>
        </w:p>
        <w:p>
          <w:pPr>
            <w:pStyle w:val="TOC2"/>
            <w:tabs>
              <w:tab w:val="left" w:pos="720" w:leader="none"/>
              <w:tab w:val="right" w:pos="8702" w:leader="dot"/>
            </w:tabs>
            <w:rPr>
              <w:bCs w:val="false"/>
              <w:lang w:val="en-CA" w:eastAsia="en-CA"/>
            </w:rPr>
          </w:pPr>
          <w:r>
            <w:rPr>
              <w:lang w:val="en-CA" w:eastAsia="en-CA"/>
            </w:rPr>
            <w:t>1.3</w:t>
          </w:r>
          <w:r>
            <w:rPr>
              <w:bCs w:val="false"/>
              <w:lang w:val="en-CA" w:eastAsia="en-CA"/>
            </w:rPr>
            <w:tab/>
          </w:r>
          <w:r>
            <w:rPr>
              <w:lang w:val="en-CA" w:eastAsia="en-CA"/>
            </w:rPr>
            <w:t>Rules of Construction</w:t>
            <w:tab/>
          </w:r>
          <w:hyperlink w:anchor="__RefHeading___Toc507407861">
            <w:r>
              <w:rPr>
                <w:rStyle w:val="IndexLink"/>
                <w:lang w:val="en-CA" w:eastAsia="en-CA"/>
              </w:rPr>
              <w:t>7</w:t>
            </w:r>
          </w:hyperlink>
        </w:p>
        <w:p>
          <w:pPr>
            <w:pStyle w:val="TOC1"/>
            <w:tabs>
              <w:tab w:val="clear" w:pos="720"/>
              <w:tab w:val="right" w:pos="8702" w:leader="dot"/>
            </w:tabs>
            <w:rPr>
              <w:bCs w:val="false"/>
              <w:caps w:val="false"/>
              <w:smallCaps w:val="false"/>
              <w:szCs w:val="24"/>
              <w:lang w:val="en-CA" w:eastAsia="en-CA"/>
            </w:rPr>
          </w:pPr>
          <w:r>
            <w:rPr>
              <w:lang w:val="en-CA" w:eastAsia="en-CA"/>
            </w:rPr>
            <w:t>ARTICLE II: CO-MARKETING ARRANGEMENTS</w:t>
          </w:r>
        </w:p>
        <w:p>
          <w:pPr>
            <w:pStyle w:val="TOC2"/>
            <w:tabs>
              <w:tab w:val="left" w:pos="720" w:leader="none"/>
              <w:tab w:val="right" w:pos="8702" w:leader="dot"/>
            </w:tabs>
            <w:rPr>
              <w:bCs w:val="false"/>
              <w:lang w:val="en-CA" w:eastAsia="en-CA"/>
            </w:rPr>
          </w:pPr>
          <w:r>
            <w:rPr>
              <w:lang w:val="en-CA" w:eastAsia="en-CA"/>
            </w:rPr>
            <w:t>2.1</w:t>
          </w:r>
          <w:r>
            <w:rPr>
              <w:bCs w:val="false"/>
              <w:lang w:val="en-CA" w:eastAsia="en-CA"/>
            </w:rPr>
            <w:tab/>
          </w:r>
          <w:r>
            <w:rPr>
              <w:lang w:val="en-CA" w:eastAsia="en-CA"/>
            </w:rPr>
            <w:t>Summary of Co-Marketing Arrangements</w:t>
            <w:tab/>
          </w:r>
          <w:hyperlink w:anchor="__RefHeading___Toc507407863">
            <w:r>
              <w:rPr>
                <w:rStyle w:val="IndexLink"/>
                <w:lang w:val="en-CA" w:eastAsia="en-CA"/>
              </w:rPr>
              <w:t>7</w:t>
            </w:r>
          </w:hyperlink>
        </w:p>
        <w:p>
          <w:pPr>
            <w:pStyle w:val="TOC2"/>
            <w:tabs>
              <w:tab w:val="left" w:pos="720" w:leader="none"/>
              <w:tab w:val="right" w:pos="8702" w:leader="dot"/>
            </w:tabs>
            <w:rPr>
              <w:bCs w:val="false"/>
              <w:lang w:val="en-CA" w:eastAsia="en-CA"/>
            </w:rPr>
          </w:pPr>
          <w:r>
            <w:rPr>
              <w:lang w:val="en-CA" w:eastAsia="en-CA"/>
            </w:rPr>
            <w:t>2.2</w:t>
          </w:r>
          <w:r>
            <w:rPr>
              <w:bCs w:val="false"/>
              <w:lang w:val="en-CA" w:eastAsia="en-CA"/>
            </w:rPr>
            <w:tab/>
          </w:r>
          <w:r>
            <w:rPr>
              <w:lang w:val="en-CA" w:eastAsia="en-CA"/>
            </w:rPr>
            <w:t>Other Co-Marketing Obligations</w:t>
            <w:tab/>
          </w:r>
          <w:hyperlink w:anchor="__RefHeading___Toc507407864">
            <w:r>
              <w:rPr>
                <w:rStyle w:val="IndexLink"/>
                <w:lang w:val="en-CA" w:eastAsia="en-CA"/>
              </w:rPr>
              <w:t>7</w:t>
            </w:r>
          </w:hyperlink>
        </w:p>
        <w:p>
          <w:pPr>
            <w:pStyle w:val="TOC2"/>
            <w:tabs>
              <w:tab w:val="left" w:pos="720" w:leader="none"/>
              <w:tab w:val="right" w:pos="8702" w:leader="dot"/>
            </w:tabs>
            <w:rPr>
              <w:bCs w:val="false"/>
              <w:lang w:val="en-CA" w:eastAsia="en-CA"/>
            </w:rPr>
          </w:pPr>
          <w:r>
            <w:rPr>
              <w:lang w:val="en-CA" w:eastAsia="en-CA"/>
            </w:rPr>
            <w:t>2.3</w:t>
          </w:r>
          <w:r>
            <w:rPr>
              <w:bCs w:val="false"/>
              <w:lang w:val="en-CA" w:eastAsia="en-CA"/>
            </w:rPr>
            <w:tab/>
          </w:r>
          <w:r>
            <w:rPr>
              <w:lang w:val="en-CA" w:eastAsia="en-CA"/>
            </w:rPr>
            <w:t>Promotion and Publicity.</w:t>
            <w:tab/>
          </w:r>
          <w:hyperlink w:anchor="__RefHeading___Toc507407865">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2.4</w:t>
          </w:r>
          <w:r>
            <w:rPr>
              <w:bCs w:val="false"/>
              <w:lang w:val="en-CA" w:eastAsia="en-CA"/>
            </w:rPr>
            <w:tab/>
          </w:r>
          <w:r>
            <w:rPr>
              <w:lang w:val="en-CA" w:eastAsia="en-CA"/>
            </w:rPr>
            <w:t>Non-Promotion of Competing Products.</w:t>
            <w:tab/>
          </w:r>
          <w:hyperlink w:anchor="__RefHeading___Toc507407866">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2.5</w:t>
          </w:r>
          <w:r>
            <w:rPr>
              <w:bCs w:val="false"/>
              <w:lang w:val="en-CA" w:eastAsia="en-CA"/>
            </w:rPr>
            <w:tab/>
          </w:r>
          <w:r>
            <w:rPr>
              <w:lang w:val="en-CA" w:eastAsia="en-CA"/>
            </w:rPr>
            <w:t>Enron Competitors</w:t>
            <w:tab/>
          </w:r>
          <w:hyperlink w:anchor="__RefHeading___Toc507407867">
            <w:r>
              <w:rPr>
                <w:rStyle w:val="IndexLink"/>
                <w:lang w:val="en-CA" w:eastAsia="en-CA"/>
              </w:rPr>
              <w:t>8</w:t>
            </w:r>
          </w:hyperlink>
        </w:p>
        <w:p>
          <w:pPr>
            <w:pStyle w:val="TOC1"/>
            <w:tabs>
              <w:tab w:val="clear" w:pos="720"/>
              <w:tab w:val="right" w:pos="8702" w:leader="dot"/>
            </w:tabs>
            <w:rPr>
              <w:bCs w:val="false"/>
              <w:caps w:val="false"/>
              <w:smallCaps w:val="false"/>
              <w:szCs w:val="24"/>
              <w:lang w:val="en-CA" w:eastAsia="en-CA"/>
            </w:rPr>
          </w:pPr>
          <w:r>
            <w:rPr>
              <w:lang w:val="en-CA" w:eastAsia="en-CA"/>
            </w:rPr>
            <w:t>ARTICLE III: DEVELOPMENT AND ACCEPTANCE OF KIODEX LITE TOOL AND ENRON DATA FEED</w:t>
          </w:r>
        </w:p>
        <w:p>
          <w:pPr>
            <w:pStyle w:val="TOC2"/>
            <w:tabs>
              <w:tab w:val="left" w:pos="720" w:leader="none"/>
              <w:tab w:val="right" w:pos="8702" w:leader="dot"/>
            </w:tabs>
            <w:rPr>
              <w:bCs w:val="false"/>
              <w:lang w:val="en-CA" w:eastAsia="en-CA"/>
            </w:rPr>
          </w:pPr>
          <w:r>
            <w:rPr>
              <w:lang w:val="en-CA" w:eastAsia="en-CA"/>
            </w:rPr>
            <w:t>3.1</w:t>
          </w:r>
          <w:r>
            <w:rPr>
              <w:bCs w:val="false"/>
              <w:lang w:val="en-CA" w:eastAsia="en-CA"/>
            </w:rPr>
            <w:tab/>
          </w:r>
          <w:r>
            <w:rPr>
              <w:lang w:val="en-CA" w:eastAsia="en-CA"/>
            </w:rPr>
            <w:t>Development, Testing and Acceptance of the Kiodex Lite Tool</w:t>
            <w:tab/>
          </w:r>
          <w:hyperlink w:anchor="__RefHeading___Toc507407869">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3.2</w:t>
          </w:r>
          <w:r>
            <w:rPr>
              <w:bCs w:val="false"/>
              <w:lang w:val="en-CA" w:eastAsia="en-CA"/>
            </w:rPr>
            <w:tab/>
          </w:r>
          <w:r>
            <w:rPr>
              <w:lang w:val="en-CA" w:eastAsia="en-CA"/>
            </w:rPr>
            <w:t>Development, Testing and Acceptance of the Enron Data Feed.</w:t>
            <w:tab/>
          </w:r>
          <w:hyperlink w:anchor="__RefHeading___Toc507407870">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3.3</w:t>
          </w:r>
          <w:r>
            <w:rPr>
              <w:bCs w:val="false"/>
              <w:lang w:val="en-CA" w:eastAsia="en-CA"/>
            </w:rPr>
            <w:tab/>
          </w:r>
          <w:r>
            <w:rPr>
              <w:lang w:val="en-CA" w:eastAsia="en-CA"/>
            </w:rPr>
            <w:t>Connectivity to/from the Enron Web Site</w:t>
            <w:tab/>
          </w:r>
          <w:hyperlink w:anchor="__RefHeading___Toc507407871">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3.4</w:t>
          </w:r>
          <w:r>
            <w:rPr>
              <w:bCs w:val="false"/>
              <w:lang w:val="en-CA" w:eastAsia="en-CA"/>
            </w:rPr>
            <w:tab/>
          </w:r>
          <w:r>
            <w:rPr>
              <w:lang w:val="en-CA" w:eastAsia="en-CA"/>
            </w:rPr>
            <w:t>Placement of the Kiodex Lite Tool on the Enron Web Site</w:t>
            <w:tab/>
          </w:r>
          <w:hyperlink w:anchor="__RefHeading___Toc507407872">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3.5</w:t>
          </w:r>
          <w:r>
            <w:rPr>
              <w:bCs w:val="false"/>
              <w:lang w:val="en-CA" w:eastAsia="en-CA"/>
            </w:rPr>
            <w:tab/>
          </w:r>
          <w:r>
            <w:rPr>
              <w:lang w:val="en-CA" w:eastAsia="en-CA"/>
            </w:rPr>
            <w:t>Enron’s Provision and Kiodex’s Use of Enron Market Data.</w:t>
            <w:tab/>
          </w:r>
          <w:hyperlink w:anchor="__RefHeading___Toc507407873">
            <w:r>
              <w:rPr>
                <w:rStyle w:val="IndexLink"/>
                <w:lang w:val="en-CA" w:eastAsia="en-CA"/>
              </w:rPr>
              <w:t>10</w:t>
            </w:r>
          </w:hyperlink>
        </w:p>
        <w:p>
          <w:pPr>
            <w:pStyle w:val="TOC1"/>
            <w:tabs>
              <w:tab w:val="clear" w:pos="720"/>
              <w:tab w:val="right" w:pos="8702" w:leader="dot"/>
            </w:tabs>
            <w:rPr>
              <w:bCs w:val="false"/>
              <w:caps w:val="false"/>
              <w:smallCaps w:val="false"/>
              <w:szCs w:val="24"/>
              <w:lang w:val="en-CA" w:eastAsia="en-CA"/>
            </w:rPr>
          </w:pPr>
          <w:r>
            <w:rPr>
              <w:lang w:val="en-CA" w:eastAsia="en-CA"/>
            </w:rPr>
            <w:t>ARTICLE IV: FREE USE OF KIODEX LITE TOOL</w:t>
          </w:r>
        </w:p>
        <w:p>
          <w:pPr>
            <w:pStyle w:val="TOC2"/>
            <w:tabs>
              <w:tab w:val="left" w:pos="720" w:leader="none"/>
              <w:tab w:val="right" w:pos="8702" w:leader="dot"/>
            </w:tabs>
            <w:rPr>
              <w:bCs w:val="false"/>
              <w:lang w:val="en-CA" w:eastAsia="en-CA"/>
            </w:rPr>
          </w:pPr>
          <w:r>
            <w:rPr>
              <w:lang w:val="en-CA" w:eastAsia="en-CA"/>
            </w:rPr>
            <w:t>4.1</w:t>
          </w:r>
          <w:r>
            <w:rPr>
              <w:bCs w:val="false"/>
              <w:lang w:val="en-CA" w:eastAsia="en-CA"/>
            </w:rPr>
            <w:tab/>
          </w:r>
          <w:r>
            <w:rPr>
              <w:lang w:val="en-CA" w:eastAsia="en-CA"/>
            </w:rPr>
            <w:t>Availability of Kiodex Lite Tool to Enron Customers</w:t>
            <w:tab/>
          </w:r>
          <w:hyperlink w:anchor="__RefHeading___Toc507407875">
            <w:r>
              <w:rPr>
                <w:rStyle w:val="IndexLink"/>
                <w:lang w:val="en-CA" w:eastAsia="en-CA"/>
              </w:rPr>
              <w:t>11</w:t>
            </w:r>
          </w:hyperlink>
        </w:p>
        <w:p>
          <w:pPr>
            <w:pStyle w:val="TOC2"/>
            <w:tabs>
              <w:tab w:val="left" w:pos="720" w:leader="none"/>
              <w:tab w:val="right" w:pos="8702" w:leader="dot"/>
            </w:tabs>
            <w:rPr>
              <w:bCs w:val="false"/>
              <w:lang w:val="en-CA" w:eastAsia="en-CA"/>
            </w:rPr>
          </w:pPr>
          <w:r>
            <w:rPr>
              <w:lang w:val="en-CA" w:eastAsia="en-CA"/>
            </w:rPr>
            <w:t>4.2</w:t>
          </w:r>
          <w:r>
            <w:rPr>
              <w:bCs w:val="false"/>
              <w:lang w:val="en-CA" w:eastAsia="en-CA"/>
            </w:rPr>
            <w:tab/>
          </w:r>
          <w:r>
            <w:rPr>
              <w:lang w:val="en-CA" w:eastAsia="en-CA"/>
            </w:rPr>
            <w:t>Provision and Use of Encrypted Enron Transaction Data.</w:t>
            <w:tab/>
          </w:r>
          <w:hyperlink w:anchor="__RefHeading___Toc507407876">
            <w:r>
              <w:rPr>
                <w:rStyle w:val="IndexLink"/>
                <w:lang w:val="en-CA" w:eastAsia="en-CA"/>
              </w:rPr>
              <w:t>11</w:t>
            </w:r>
          </w:hyperlink>
        </w:p>
        <w:p>
          <w:pPr>
            <w:pStyle w:val="TOC2"/>
            <w:tabs>
              <w:tab w:val="left" w:pos="720" w:leader="none"/>
              <w:tab w:val="right" w:pos="8702" w:leader="dot"/>
            </w:tabs>
            <w:rPr>
              <w:bCs w:val="false"/>
              <w:lang w:val="en-CA" w:eastAsia="en-CA"/>
            </w:rPr>
          </w:pPr>
          <w:r>
            <w:rPr>
              <w:lang w:val="en-CA" w:eastAsia="en-CA"/>
            </w:rPr>
            <w:t>4.3</w:t>
          </w:r>
          <w:r>
            <w:rPr>
              <w:bCs w:val="false"/>
              <w:lang w:val="en-CA" w:eastAsia="en-CA"/>
            </w:rPr>
            <w:tab/>
          </w:r>
          <w:r>
            <w:rPr>
              <w:lang w:val="en-CA" w:eastAsia="en-CA"/>
            </w:rPr>
            <w:t>Kiodex License Grant</w:t>
            <w:tab/>
          </w:r>
          <w:hyperlink w:anchor="__RefHeading___Toc507407877">
            <w:r>
              <w:rPr>
                <w:rStyle w:val="IndexLink"/>
                <w:lang w:val="en-CA" w:eastAsia="en-CA"/>
              </w:rPr>
              <w:t>12</w:t>
            </w:r>
          </w:hyperlink>
        </w:p>
        <w:p>
          <w:pPr>
            <w:pStyle w:val="TOC1"/>
            <w:tabs>
              <w:tab w:val="clear" w:pos="720"/>
              <w:tab w:val="right" w:pos="8702" w:leader="dot"/>
            </w:tabs>
            <w:rPr>
              <w:bCs w:val="false"/>
              <w:caps w:val="false"/>
              <w:smallCaps w:val="false"/>
              <w:szCs w:val="24"/>
              <w:lang w:val="en-CA" w:eastAsia="en-CA"/>
            </w:rPr>
          </w:pPr>
          <w:r>
            <w:rPr>
              <w:lang w:val="en-CA" w:eastAsia="en-CA"/>
            </w:rPr>
            <w:t>ARTICLE V: THE KIODEX APPLICATION</w:t>
          </w:r>
        </w:p>
        <w:p>
          <w:pPr>
            <w:pStyle w:val="TOC2"/>
            <w:tabs>
              <w:tab w:val="left" w:pos="720" w:leader="none"/>
              <w:tab w:val="right" w:pos="8702" w:leader="dot"/>
            </w:tabs>
            <w:rPr>
              <w:bCs w:val="false"/>
              <w:lang w:val="en-CA" w:eastAsia="en-CA"/>
            </w:rPr>
          </w:pPr>
          <w:r>
            <w:rPr>
              <w:lang w:val="en-CA" w:eastAsia="en-CA"/>
            </w:rPr>
            <w:t>5.1</w:t>
          </w:r>
          <w:r>
            <w:rPr>
              <w:bCs w:val="false"/>
              <w:lang w:val="en-CA" w:eastAsia="en-CA"/>
            </w:rPr>
            <w:tab/>
          </w:r>
          <w:r>
            <w:rPr>
              <w:lang w:val="en-CA" w:eastAsia="en-CA"/>
            </w:rPr>
            <w:t>Availability of Kiodex Application to Kiodex Customers.</w:t>
            <w:tab/>
          </w:r>
          <w:hyperlink w:anchor="__RefHeading___Toc507407879">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5.2</w:t>
          </w:r>
          <w:r>
            <w:rPr>
              <w:bCs w:val="false"/>
              <w:lang w:val="en-CA" w:eastAsia="en-CA"/>
            </w:rPr>
            <w:tab/>
          </w:r>
          <w:r>
            <w:rPr>
              <w:lang w:val="en-CA" w:eastAsia="en-CA"/>
            </w:rPr>
            <w:t>Provision and Use of Customer-Specific Enron Transaction Data</w:t>
            <w:tab/>
          </w:r>
          <w:hyperlink w:anchor="__RefHeading___Toc507407880">
            <w:r>
              <w:rPr>
                <w:rStyle w:val="IndexLink"/>
                <w:lang w:val="en-CA" w:eastAsia="en-CA"/>
              </w:rPr>
              <w:t>13</w:t>
            </w:r>
          </w:hyperlink>
        </w:p>
        <w:p>
          <w:pPr>
            <w:pStyle w:val="TOC1"/>
            <w:tabs>
              <w:tab w:val="clear" w:pos="720"/>
              <w:tab w:val="right" w:pos="8702" w:leader="dot"/>
            </w:tabs>
            <w:rPr>
              <w:bCs w:val="false"/>
              <w:caps w:val="false"/>
              <w:smallCaps w:val="false"/>
              <w:szCs w:val="24"/>
              <w:lang w:val="en-CA" w:eastAsia="en-CA"/>
            </w:rPr>
          </w:pPr>
          <w:r>
            <w:rPr>
              <w:lang w:val="en-CA" w:eastAsia="en-CA"/>
            </w:rPr>
            <w:t>ARTICLE VI: GENERAL OBLIGATIONS OF THE PARTIES</w:t>
          </w:r>
        </w:p>
        <w:p>
          <w:pPr>
            <w:pStyle w:val="TOC2"/>
            <w:tabs>
              <w:tab w:val="left" w:pos="720" w:leader="none"/>
              <w:tab w:val="right" w:pos="8702" w:leader="dot"/>
            </w:tabs>
            <w:rPr>
              <w:bCs w:val="false"/>
              <w:lang w:val="en-CA" w:eastAsia="en-CA"/>
            </w:rPr>
          </w:pPr>
          <w:r>
            <w:rPr>
              <w:lang w:val="en-CA" w:eastAsia="en-CA"/>
            </w:rPr>
            <w:t>6.1</w:t>
          </w:r>
          <w:r>
            <w:rPr>
              <w:bCs w:val="false"/>
              <w:lang w:val="en-CA" w:eastAsia="en-CA"/>
            </w:rPr>
            <w:tab/>
          </w:r>
          <w:r>
            <w:rPr>
              <w:lang w:val="en-CA" w:eastAsia="en-CA"/>
            </w:rPr>
            <w:t>Changes to Kiodex Lite Tool and Kiodex Lite Reports</w:t>
            <w:tab/>
          </w:r>
          <w:hyperlink w:anchor="__RefHeading___Toc507407882">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6.2</w:t>
          </w:r>
          <w:r>
            <w:rPr>
              <w:bCs w:val="false"/>
              <w:lang w:val="en-CA" w:eastAsia="en-CA"/>
            </w:rPr>
            <w:tab/>
          </w:r>
          <w:r>
            <w:rPr>
              <w:lang w:val="en-CA" w:eastAsia="en-CA"/>
            </w:rPr>
            <w:t>Changes to the Enron Web Site</w:t>
            <w:tab/>
          </w:r>
          <w:hyperlink w:anchor="__RefHeading___Toc507407883">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6.3</w:t>
          </w:r>
          <w:r>
            <w:rPr>
              <w:bCs w:val="false"/>
              <w:lang w:val="en-CA" w:eastAsia="en-CA"/>
            </w:rPr>
            <w:tab/>
          </w:r>
          <w:r>
            <w:rPr>
              <w:lang w:val="en-CA" w:eastAsia="en-CA"/>
            </w:rPr>
            <w:t>Maintenance</w:t>
            <w:tab/>
          </w:r>
          <w:hyperlink w:anchor="__RefHeading___Toc507407884">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6.4</w:t>
          </w:r>
          <w:r>
            <w:rPr>
              <w:bCs w:val="false"/>
              <w:lang w:val="en-CA" w:eastAsia="en-CA"/>
            </w:rPr>
            <w:tab/>
          </w:r>
          <w:r>
            <w:rPr>
              <w:lang w:val="en-CA" w:eastAsia="en-CA"/>
            </w:rPr>
            <w:t>Technology</w:t>
            <w:tab/>
          </w:r>
          <w:hyperlink w:anchor="__RefHeading___Toc507407885">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6.5</w:t>
          </w:r>
          <w:r>
            <w:rPr>
              <w:bCs w:val="false"/>
              <w:lang w:val="en-CA" w:eastAsia="en-CA"/>
            </w:rPr>
            <w:tab/>
          </w:r>
          <w:r>
            <w:rPr>
              <w:lang w:val="en-CA" w:eastAsia="en-CA"/>
            </w:rPr>
            <w:t>Security</w:t>
            <w:tab/>
          </w:r>
          <w:hyperlink w:anchor="__RefHeading___Toc507407886">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6.6</w:t>
          </w:r>
          <w:r>
            <w:rPr>
              <w:bCs w:val="false"/>
              <w:lang w:val="en-CA" w:eastAsia="en-CA"/>
            </w:rPr>
            <w:tab/>
          </w:r>
          <w:r>
            <w:rPr>
              <w:lang w:val="en-CA" w:eastAsia="en-CA"/>
            </w:rPr>
            <w:t>Operating Standards</w:t>
            <w:tab/>
          </w:r>
          <w:hyperlink w:anchor="__RefHeading___Toc507407887">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6.7</w:t>
          </w:r>
          <w:r>
            <w:rPr>
              <w:bCs w:val="false"/>
              <w:lang w:val="en-CA" w:eastAsia="en-CA"/>
            </w:rPr>
            <w:tab/>
          </w:r>
          <w:r>
            <w:rPr>
              <w:lang w:val="en-CA" w:eastAsia="en-CA"/>
            </w:rPr>
            <w:t>Traffic Flow</w:t>
            <w:tab/>
          </w:r>
          <w:hyperlink w:anchor="__RefHeading___Toc507407888">
            <w:r>
              <w:rPr>
                <w:rStyle w:val="IndexLink"/>
                <w:lang w:val="en-CA" w:eastAsia="en-CA"/>
              </w:rPr>
              <w:t>15</w:t>
            </w:r>
          </w:hyperlink>
          <w:r>
            <w:br w:type="page"/>
          </w:r>
        </w:p>
        <w:p>
          <w:pPr>
            <w:pStyle w:val="TOC1"/>
            <w:tabs>
              <w:tab w:val="clear" w:pos="720"/>
              <w:tab w:val="right" w:pos="8702" w:leader="dot"/>
            </w:tabs>
            <w:rPr>
              <w:bCs w:val="false"/>
              <w:caps w:val="false"/>
              <w:smallCaps w:val="false"/>
              <w:szCs w:val="24"/>
              <w:lang w:val="en-CA" w:eastAsia="en-CA"/>
            </w:rPr>
          </w:pPr>
          <w:r>
            <w:rPr>
              <w:lang w:val="en-CA" w:eastAsia="en-CA"/>
            </w:rPr>
            <w:t>ARTICLE VII: PAYMENT</w:t>
          </w:r>
        </w:p>
        <w:p>
          <w:pPr>
            <w:pStyle w:val="TOC2"/>
            <w:tabs>
              <w:tab w:val="left" w:pos="720" w:leader="none"/>
              <w:tab w:val="right" w:pos="8702" w:leader="dot"/>
            </w:tabs>
            <w:rPr>
              <w:bCs w:val="false"/>
              <w:lang w:val="en-CA" w:eastAsia="en-CA"/>
            </w:rPr>
          </w:pPr>
          <w:r>
            <w:rPr>
              <w:lang w:val="en-CA" w:eastAsia="en-CA"/>
            </w:rPr>
            <w:t>7.1</w:t>
          </w:r>
          <w:r>
            <w:rPr>
              <w:bCs w:val="false"/>
              <w:lang w:val="en-CA" w:eastAsia="en-CA"/>
            </w:rPr>
            <w:tab/>
          </w:r>
          <w:r>
            <w:rPr>
              <w:lang w:val="en-CA" w:eastAsia="en-CA"/>
            </w:rPr>
            <w:t>Warrant</w:t>
            <w:tab/>
          </w:r>
          <w:hyperlink w:anchor="__RefHeading___Toc507407890">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7.2</w:t>
          </w:r>
          <w:r>
            <w:rPr>
              <w:bCs w:val="false"/>
              <w:lang w:val="en-CA" w:eastAsia="en-CA"/>
            </w:rPr>
            <w:tab/>
          </w:r>
          <w:r>
            <w:rPr>
              <w:lang w:val="en-CA" w:eastAsia="en-CA"/>
            </w:rPr>
            <w:t>Qualified Users</w:t>
            <w:tab/>
          </w:r>
          <w:hyperlink w:anchor="__RefHeading___Toc507407891">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7.3</w:t>
          </w:r>
          <w:r>
            <w:rPr>
              <w:bCs w:val="false"/>
              <w:lang w:val="en-CA" w:eastAsia="en-CA"/>
            </w:rPr>
            <w:tab/>
          </w:r>
          <w:r>
            <w:rPr>
              <w:lang w:val="en-CA" w:eastAsia="en-CA"/>
            </w:rPr>
            <w:t>Legal Opinion</w:t>
            <w:tab/>
          </w:r>
          <w:hyperlink w:anchor="__RefHeading___Toc507407892">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7.4</w:t>
          </w:r>
          <w:r>
            <w:rPr>
              <w:bCs w:val="false"/>
              <w:lang w:val="en-CA" w:eastAsia="en-CA"/>
            </w:rPr>
            <w:tab/>
          </w:r>
          <w:r>
            <w:rPr>
              <w:lang w:val="en-CA" w:eastAsia="en-CA"/>
            </w:rPr>
            <w:t>Legend</w:t>
            <w:tab/>
          </w:r>
          <w:hyperlink w:anchor="__RefHeading___Toc507407893">
            <w:r>
              <w:rPr>
                <w:rStyle w:val="IndexLink"/>
                <w:lang w:val="en-CA" w:eastAsia="en-CA"/>
              </w:rPr>
              <w:t>16</w:t>
            </w:r>
          </w:hyperlink>
        </w:p>
        <w:p>
          <w:pPr>
            <w:pStyle w:val="TOC1"/>
            <w:tabs>
              <w:tab w:val="clear" w:pos="720"/>
              <w:tab w:val="right" w:pos="8702" w:leader="dot"/>
            </w:tabs>
            <w:rPr>
              <w:bCs w:val="false"/>
              <w:caps w:val="false"/>
              <w:smallCaps w:val="false"/>
              <w:szCs w:val="24"/>
              <w:lang w:val="en-CA" w:eastAsia="en-CA"/>
            </w:rPr>
          </w:pPr>
          <w:r>
            <w:rPr>
              <w:lang w:val="en-CA" w:eastAsia="en-CA"/>
            </w:rPr>
            <w:t>ARTICLE VIII: TERM AND TERMINATION</w:t>
          </w:r>
        </w:p>
        <w:p>
          <w:pPr>
            <w:pStyle w:val="TOC2"/>
            <w:tabs>
              <w:tab w:val="left" w:pos="720" w:leader="none"/>
              <w:tab w:val="right" w:pos="8702" w:leader="dot"/>
            </w:tabs>
            <w:rPr>
              <w:bCs w:val="false"/>
              <w:lang w:val="en-CA" w:eastAsia="en-CA"/>
            </w:rPr>
          </w:pPr>
          <w:r>
            <w:rPr>
              <w:lang w:val="en-CA" w:eastAsia="en-CA"/>
            </w:rPr>
            <w:t>8.1</w:t>
          </w:r>
          <w:r>
            <w:rPr>
              <w:bCs w:val="false"/>
              <w:lang w:val="en-CA" w:eastAsia="en-CA"/>
            </w:rPr>
            <w:tab/>
          </w:r>
          <w:r>
            <w:rPr>
              <w:lang w:val="en-CA" w:eastAsia="en-CA"/>
            </w:rPr>
            <w:t>Term</w:t>
            <w:tab/>
          </w:r>
          <w:hyperlink w:anchor="__RefHeading___Toc507407895">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8.2</w:t>
          </w:r>
          <w:r>
            <w:rPr>
              <w:bCs w:val="false"/>
              <w:lang w:val="en-CA" w:eastAsia="en-CA"/>
            </w:rPr>
            <w:tab/>
          </w:r>
          <w:r>
            <w:rPr>
              <w:lang w:val="en-CA" w:eastAsia="en-CA"/>
            </w:rPr>
            <w:t>Termination by Kiodex</w:t>
            <w:tab/>
          </w:r>
          <w:hyperlink w:anchor="__RefHeading___Toc507407896">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8.3</w:t>
          </w:r>
          <w:r>
            <w:rPr>
              <w:bCs w:val="false"/>
              <w:lang w:val="en-CA" w:eastAsia="en-CA"/>
            </w:rPr>
            <w:tab/>
          </w:r>
          <w:r>
            <w:rPr>
              <w:lang w:val="en-CA" w:eastAsia="en-CA"/>
            </w:rPr>
            <w:t>Termination by Enron</w:t>
            <w:tab/>
          </w:r>
          <w:hyperlink w:anchor="__RefHeading___Toc507407897">
            <w:r>
              <w:rPr>
                <w:rStyle w:val="IndexLink"/>
                <w:lang w:val="en-CA" w:eastAsia="en-CA"/>
              </w:rPr>
              <w:t>17</w:t>
            </w:r>
          </w:hyperlink>
        </w:p>
        <w:p>
          <w:pPr>
            <w:pStyle w:val="TOC2"/>
            <w:tabs>
              <w:tab w:val="left" w:pos="720" w:leader="none"/>
              <w:tab w:val="right" w:pos="8702" w:leader="dot"/>
            </w:tabs>
            <w:rPr>
              <w:bCs w:val="false"/>
              <w:lang w:val="en-CA" w:eastAsia="en-CA"/>
            </w:rPr>
          </w:pPr>
          <w:r>
            <w:rPr>
              <w:lang w:val="en-CA" w:eastAsia="en-CA"/>
            </w:rPr>
            <w:t>8.4</w:t>
          </w:r>
          <w:r>
            <w:rPr>
              <w:bCs w:val="false"/>
              <w:lang w:val="en-CA" w:eastAsia="en-CA"/>
            </w:rPr>
            <w:tab/>
          </w:r>
          <w:r>
            <w:rPr>
              <w:lang w:val="en-CA" w:eastAsia="en-CA"/>
            </w:rPr>
            <w:t>Consequences of Termination</w:t>
            <w:tab/>
          </w:r>
          <w:hyperlink w:anchor="__RefHeading___Toc507407898">
            <w:r>
              <w:rPr>
                <w:rStyle w:val="IndexLink"/>
                <w:lang w:val="en-CA" w:eastAsia="en-CA"/>
              </w:rPr>
              <w:t>18</w:t>
            </w:r>
          </w:hyperlink>
        </w:p>
        <w:p>
          <w:pPr>
            <w:pStyle w:val="TOC1"/>
            <w:tabs>
              <w:tab w:val="clear" w:pos="720"/>
              <w:tab w:val="right" w:pos="8702" w:leader="dot"/>
            </w:tabs>
            <w:rPr>
              <w:bCs w:val="false"/>
              <w:caps w:val="false"/>
              <w:smallCaps w:val="false"/>
              <w:szCs w:val="24"/>
              <w:lang w:val="en-CA" w:eastAsia="en-CA"/>
            </w:rPr>
          </w:pPr>
          <w:r>
            <w:rPr>
              <w:lang w:val="en-CA" w:eastAsia="en-CA"/>
            </w:rPr>
            <w:t>ARTICLE IX: REPRESENTATIONS AND WARRANTIES</w:t>
          </w:r>
        </w:p>
        <w:p>
          <w:pPr>
            <w:pStyle w:val="TOC2"/>
            <w:tabs>
              <w:tab w:val="left" w:pos="720" w:leader="none"/>
              <w:tab w:val="right" w:pos="8702" w:leader="dot"/>
            </w:tabs>
            <w:rPr>
              <w:bCs w:val="false"/>
              <w:lang w:val="en-CA" w:eastAsia="en-CA"/>
            </w:rPr>
          </w:pPr>
          <w:r>
            <w:rPr>
              <w:lang w:val="en-CA" w:eastAsia="en-CA"/>
            </w:rPr>
            <w:t>9.1</w:t>
          </w:r>
          <w:r>
            <w:rPr>
              <w:bCs w:val="false"/>
              <w:lang w:val="en-CA" w:eastAsia="en-CA"/>
            </w:rPr>
            <w:tab/>
          </w:r>
          <w:r>
            <w:rPr>
              <w:lang w:val="en-CA" w:eastAsia="en-CA"/>
            </w:rPr>
            <w:t>Representations and Warranties of Kiodex</w:t>
            <w:tab/>
          </w:r>
          <w:hyperlink w:anchor="__RefHeading___Toc507407900">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9.2</w:t>
          </w:r>
          <w:r>
            <w:rPr>
              <w:bCs w:val="false"/>
              <w:lang w:val="en-CA" w:eastAsia="en-CA"/>
            </w:rPr>
            <w:tab/>
          </w:r>
          <w:r>
            <w:rPr>
              <w:lang w:val="en-CA" w:eastAsia="en-CA"/>
            </w:rPr>
            <w:t>Representations and Warranties by Enron</w:t>
            <w:tab/>
          </w:r>
          <w:hyperlink w:anchor="__RefHeading___Toc507407901">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9.3</w:t>
          </w:r>
          <w:r>
            <w:rPr>
              <w:bCs w:val="false"/>
              <w:lang w:val="en-CA" w:eastAsia="en-CA"/>
            </w:rPr>
            <w:tab/>
          </w:r>
          <w:r>
            <w:rPr>
              <w:lang w:val="en-CA" w:eastAsia="en-CA"/>
            </w:rPr>
            <w:t>Mutual Disclaimer of Representations and Warranties</w:t>
            <w:tab/>
          </w:r>
          <w:hyperlink w:anchor="__RefHeading___Toc507407902">
            <w:r>
              <w:rPr>
                <w:rStyle w:val="IndexLink"/>
                <w:lang w:val="en-CA" w:eastAsia="en-CA"/>
              </w:rPr>
              <w:t>21</w:t>
            </w:r>
          </w:hyperlink>
        </w:p>
        <w:p>
          <w:pPr>
            <w:pStyle w:val="TOC1"/>
            <w:tabs>
              <w:tab w:val="clear" w:pos="720"/>
              <w:tab w:val="right" w:pos="8702" w:leader="dot"/>
            </w:tabs>
            <w:rPr>
              <w:bCs w:val="false"/>
              <w:caps w:val="false"/>
              <w:smallCaps w:val="false"/>
              <w:szCs w:val="24"/>
              <w:lang w:val="en-CA" w:eastAsia="en-CA"/>
            </w:rPr>
          </w:pPr>
          <w:r>
            <w:rPr>
              <w:lang w:val="en-CA" w:eastAsia="en-CA"/>
            </w:rPr>
            <w:t>ARTICLE X: OWNERSHIP OF INTELLECTUAL PROPERTY RIGHTS</w:t>
          </w:r>
        </w:p>
        <w:p>
          <w:pPr>
            <w:pStyle w:val="TOC2"/>
            <w:tabs>
              <w:tab w:val="left" w:pos="720" w:leader="none"/>
              <w:tab w:val="right" w:pos="8702" w:leader="dot"/>
            </w:tabs>
            <w:rPr>
              <w:bCs w:val="false"/>
              <w:lang w:val="en-CA" w:eastAsia="en-CA"/>
            </w:rPr>
          </w:pPr>
          <w:r>
            <w:rPr>
              <w:lang w:val="en-CA" w:eastAsia="en-CA"/>
            </w:rPr>
            <w:t>10.1</w:t>
          </w:r>
          <w:r>
            <w:rPr>
              <w:bCs w:val="false"/>
              <w:lang w:val="en-CA" w:eastAsia="en-CA"/>
            </w:rPr>
            <w:tab/>
          </w:r>
          <w:r>
            <w:rPr>
              <w:lang w:val="en-CA" w:eastAsia="en-CA"/>
            </w:rPr>
            <w:t>Kiodex Property</w:t>
            <w:tab/>
          </w:r>
          <w:hyperlink w:anchor="__RefHeading___Toc507407904">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10.2</w:t>
          </w:r>
          <w:r>
            <w:rPr>
              <w:bCs w:val="false"/>
              <w:lang w:val="en-CA" w:eastAsia="en-CA"/>
            </w:rPr>
            <w:tab/>
          </w:r>
          <w:r>
            <w:rPr>
              <w:lang w:val="en-CA" w:eastAsia="en-CA"/>
            </w:rPr>
            <w:t>Enron Property</w:t>
            <w:tab/>
          </w:r>
          <w:hyperlink w:anchor="__RefHeading___Toc507407905">
            <w:r>
              <w:rPr>
                <w:rStyle w:val="IndexLink"/>
                <w:lang w:val="en-CA" w:eastAsia="en-CA"/>
              </w:rPr>
              <w:t>21</w:t>
            </w:r>
          </w:hyperlink>
        </w:p>
        <w:p>
          <w:pPr>
            <w:pStyle w:val="TOC1"/>
            <w:tabs>
              <w:tab w:val="clear" w:pos="720"/>
              <w:tab w:val="right" w:pos="8702" w:leader="dot"/>
            </w:tabs>
            <w:rPr>
              <w:bCs w:val="false"/>
              <w:caps w:val="false"/>
              <w:smallCaps w:val="false"/>
              <w:szCs w:val="24"/>
              <w:lang w:val="en-CA" w:eastAsia="en-CA"/>
            </w:rPr>
          </w:pPr>
          <w:r>
            <w:rPr>
              <w:lang w:val="en-CA" w:eastAsia="en-CA"/>
            </w:rPr>
            <w:t>ARTICLE XI: INDEMNIFICATION; LIMITATION OF LIABILITY</w:t>
          </w:r>
        </w:p>
        <w:p>
          <w:pPr>
            <w:pStyle w:val="TOC2"/>
            <w:tabs>
              <w:tab w:val="left" w:pos="720" w:leader="none"/>
              <w:tab w:val="right" w:pos="8702" w:leader="dot"/>
            </w:tabs>
            <w:rPr>
              <w:bCs w:val="false"/>
              <w:lang w:val="en-CA" w:eastAsia="en-CA"/>
            </w:rPr>
          </w:pPr>
          <w:r>
            <w:rPr>
              <w:lang w:val="en-CA" w:eastAsia="en-CA"/>
            </w:rPr>
            <w:t>11.1</w:t>
          </w:r>
          <w:r>
            <w:rPr>
              <w:bCs w:val="false"/>
              <w:lang w:val="en-CA" w:eastAsia="en-CA"/>
            </w:rPr>
            <w:tab/>
          </w:r>
          <w:r>
            <w:rPr>
              <w:lang w:val="en-CA" w:eastAsia="en-CA"/>
            </w:rPr>
            <w:t>Kiodex Infringement Indemnity.</w:t>
            <w:tab/>
          </w:r>
          <w:hyperlink w:anchor="__RefHeading___Toc507407907">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11.2</w:t>
          </w:r>
          <w:r>
            <w:rPr>
              <w:bCs w:val="false"/>
              <w:lang w:val="en-CA" w:eastAsia="en-CA"/>
            </w:rPr>
            <w:tab/>
          </w:r>
          <w:r>
            <w:rPr>
              <w:lang w:val="en-CA" w:eastAsia="en-CA"/>
            </w:rPr>
            <w:t>Kiodex General Indemnity</w:t>
            <w:tab/>
          </w:r>
          <w:hyperlink w:anchor="__RefHeading___Toc507407908">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11.3</w:t>
          </w:r>
          <w:r>
            <w:rPr>
              <w:bCs w:val="false"/>
              <w:lang w:val="en-CA" w:eastAsia="en-CA"/>
            </w:rPr>
            <w:tab/>
          </w:r>
          <w:r>
            <w:rPr>
              <w:lang w:val="en-CA" w:eastAsia="en-CA"/>
            </w:rPr>
            <w:t>Enron Indemnity</w:t>
            <w:tab/>
          </w:r>
          <w:hyperlink w:anchor="__RefHeading___Toc507407909">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11.4</w:t>
          </w:r>
          <w:r>
            <w:rPr>
              <w:bCs w:val="false"/>
              <w:lang w:val="en-CA" w:eastAsia="en-CA"/>
            </w:rPr>
            <w:tab/>
          </w:r>
          <w:r>
            <w:rPr>
              <w:lang w:val="en-CA" w:eastAsia="en-CA"/>
            </w:rPr>
            <w:t>Limitations of Liability.</w:t>
            <w:tab/>
          </w:r>
          <w:hyperlink w:anchor="__RefHeading___Toc507407910">
            <w:r>
              <w:rPr>
                <w:rStyle w:val="IndexLink"/>
                <w:lang w:val="en-CA" w:eastAsia="en-CA"/>
              </w:rPr>
              <w:t>23</w:t>
            </w:r>
          </w:hyperlink>
        </w:p>
        <w:p>
          <w:pPr>
            <w:pStyle w:val="TOC1"/>
            <w:tabs>
              <w:tab w:val="clear" w:pos="720"/>
              <w:tab w:val="right" w:pos="8702" w:leader="dot"/>
            </w:tabs>
            <w:rPr>
              <w:bCs w:val="false"/>
              <w:caps w:val="false"/>
              <w:smallCaps w:val="false"/>
              <w:szCs w:val="24"/>
              <w:lang w:val="en-CA" w:eastAsia="en-CA"/>
            </w:rPr>
          </w:pPr>
          <w:r>
            <w:rPr>
              <w:lang w:val="en-CA" w:eastAsia="en-CA"/>
            </w:rPr>
            <w:t>ARTICLE XII: OTHER PROVISIONS</w:t>
          </w:r>
        </w:p>
        <w:p>
          <w:pPr>
            <w:pStyle w:val="TOC2"/>
            <w:tabs>
              <w:tab w:val="left" w:pos="720" w:leader="none"/>
              <w:tab w:val="right" w:pos="8702" w:leader="dot"/>
            </w:tabs>
            <w:rPr>
              <w:bCs w:val="false"/>
              <w:lang w:val="en-CA" w:eastAsia="en-CA"/>
            </w:rPr>
          </w:pPr>
          <w:r>
            <w:rPr>
              <w:lang w:val="en-CA" w:eastAsia="en-CA"/>
            </w:rPr>
            <w:t>12.1</w:t>
          </w:r>
          <w:r>
            <w:rPr>
              <w:bCs w:val="false"/>
              <w:lang w:val="en-CA" w:eastAsia="en-CA"/>
            </w:rPr>
            <w:tab/>
          </w:r>
          <w:r>
            <w:rPr>
              <w:lang w:val="en-CA" w:eastAsia="en-CA"/>
            </w:rPr>
            <w:t>Survival</w:t>
            <w:tab/>
          </w:r>
          <w:hyperlink w:anchor="__RefHeading___Toc507407912">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12.2</w:t>
          </w:r>
          <w:r>
            <w:rPr>
              <w:bCs w:val="false"/>
              <w:lang w:val="en-CA" w:eastAsia="en-CA"/>
            </w:rPr>
            <w:tab/>
          </w:r>
          <w:r>
            <w:rPr>
              <w:lang w:val="en-CA" w:eastAsia="en-CA"/>
            </w:rPr>
            <w:t>Confidentiality.</w:t>
            <w:tab/>
          </w:r>
          <w:hyperlink w:anchor="__RefHeading___Toc507407913">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12.3</w:t>
          </w:r>
          <w:r>
            <w:rPr>
              <w:bCs w:val="false"/>
              <w:lang w:val="en-CA" w:eastAsia="en-CA"/>
            </w:rPr>
            <w:tab/>
          </w:r>
          <w:r>
            <w:rPr>
              <w:lang w:val="en-CA" w:eastAsia="en-CA"/>
            </w:rPr>
            <w:t>Costs</w:t>
            <w:tab/>
          </w:r>
          <w:hyperlink w:anchor="__RefHeading___Toc507407914">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12.4</w:t>
          </w:r>
          <w:r>
            <w:rPr>
              <w:bCs w:val="false"/>
              <w:lang w:val="en-CA" w:eastAsia="en-CA"/>
            </w:rPr>
            <w:tab/>
          </w:r>
          <w:r>
            <w:rPr>
              <w:lang w:val="en-CA" w:eastAsia="en-CA"/>
            </w:rPr>
            <w:t>Notices</w:t>
            <w:tab/>
          </w:r>
          <w:hyperlink w:anchor="__RefHeading___Toc507407915">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12.5</w:t>
          </w:r>
          <w:r>
            <w:rPr>
              <w:bCs w:val="false"/>
              <w:lang w:val="en-CA" w:eastAsia="en-CA"/>
            </w:rPr>
            <w:tab/>
          </w:r>
          <w:r>
            <w:rPr>
              <w:lang w:val="en-CA" w:eastAsia="en-CA"/>
            </w:rPr>
            <w:t>Entire Agreement</w:t>
            <w:tab/>
          </w:r>
          <w:hyperlink w:anchor="__RefHeading___Toc507407916">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12.6</w:t>
          </w:r>
          <w:r>
            <w:rPr>
              <w:bCs w:val="false"/>
              <w:lang w:val="en-CA" w:eastAsia="en-CA"/>
            </w:rPr>
            <w:tab/>
          </w:r>
          <w:r>
            <w:rPr>
              <w:lang w:val="en-CA" w:eastAsia="en-CA"/>
            </w:rPr>
            <w:t>Severability</w:t>
            <w:tab/>
          </w:r>
          <w:hyperlink w:anchor="__RefHeading___Toc507407917">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12.7</w:t>
          </w:r>
          <w:r>
            <w:rPr>
              <w:bCs w:val="false"/>
              <w:lang w:val="en-CA" w:eastAsia="en-CA"/>
            </w:rPr>
            <w:tab/>
          </w:r>
          <w:r>
            <w:rPr>
              <w:lang w:val="en-CA" w:eastAsia="en-CA"/>
            </w:rPr>
            <w:t>Relationship of the Parties</w:t>
            <w:tab/>
          </w:r>
          <w:hyperlink w:anchor="__RefHeading___Toc507407918">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12.8</w:t>
          </w:r>
          <w:r>
            <w:rPr>
              <w:bCs w:val="false"/>
              <w:lang w:val="en-CA" w:eastAsia="en-CA"/>
            </w:rPr>
            <w:tab/>
          </w:r>
          <w:r>
            <w:rPr>
              <w:lang w:val="en-CA" w:eastAsia="en-CA"/>
            </w:rPr>
            <w:t>Counterparts</w:t>
            <w:tab/>
          </w:r>
          <w:hyperlink w:anchor="__RefHeading___Toc507407919">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12.9</w:t>
          </w:r>
          <w:r>
            <w:rPr>
              <w:bCs w:val="false"/>
              <w:lang w:val="en-CA" w:eastAsia="en-CA"/>
            </w:rPr>
            <w:tab/>
          </w:r>
          <w:r>
            <w:rPr>
              <w:lang w:val="en-CA" w:eastAsia="en-CA"/>
            </w:rPr>
            <w:t>Binding Effect</w:t>
            <w:tab/>
          </w:r>
          <w:hyperlink w:anchor="__RefHeading___Toc507407920">
            <w:r>
              <w:rPr>
                <w:rStyle w:val="IndexLink"/>
                <w:lang w:val="en-CA" w:eastAsia="en-CA"/>
              </w:rPr>
              <w:t>27</w:t>
            </w:r>
          </w:hyperlink>
        </w:p>
        <w:p>
          <w:pPr>
            <w:pStyle w:val="TOC2"/>
            <w:tabs>
              <w:tab w:val="clear" w:pos="720"/>
              <w:tab w:val="left" w:pos="960" w:leader="none"/>
              <w:tab w:val="right" w:pos="8702" w:leader="dot"/>
            </w:tabs>
            <w:rPr>
              <w:bCs w:val="false"/>
              <w:lang w:val="en-CA" w:eastAsia="en-CA"/>
            </w:rPr>
          </w:pPr>
          <w:r>
            <w:rPr>
              <w:lang w:val="en-CA" w:eastAsia="en-CA"/>
            </w:rPr>
            <w:t>12.10</w:t>
          </w:r>
          <w:r>
            <w:rPr>
              <w:bCs w:val="false"/>
              <w:lang w:val="en-CA" w:eastAsia="en-CA"/>
            </w:rPr>
            <w:tab/>
          </w:r>
          <w:r>
            <w:rPr>
              <w:lang w:val="en-CA" w:eastAsia="en-CA"/>
            </w:rPr>
            <w:t>Assignment</w:t>
            <w:tab/>
          </w:r>
          <w:hyperlink w:anchor="__RefHeading___Toc507407921">
            <w:r>
              <w:rPr>
                <w:rStyle w:val="IndexLink"/>
                <w:lang w:val="en-CA" w:eastAsia="en-CA"/>
              </w:rPr>
              <w:t>27</w:t>
            </w:r>
          </w:hyperlink>
        </w:p>
        <w:p>
          <w:pPr>
            <w:pStyle w:val="TOC2"/>
            <w:tabs>
              <w:tab w:val="clear" w:pos="720"/>
              <w:tab w:val="left" w:pos="960" w:leader="none"/>
              <w:tab w:val="right" w:pos="8702" w:leader="dot"/>
            </w:tabs>
            <w:rPr>
              <w:bCs w:val="false"/>
              <w:lang w:val="en-CA" w:eastAsia="en-CA"/>
            </w:rPr>
          </w:pPr>
          <w:r>
            <w:rPr>
              <w:lang w:val="en-CA" w:eastAsia="en-CA"/>
            </w:rPr>
            <w:t>12.11</w:t>
          </w:r>
          <w:r>
            <w:rPr>
              <w:bCs w:val="false"/>
              <w:lang w:val="en-CA" w:eastAsia="en-CA"/>
            </w:rPr>
            <w:tab/>
          </w:r>
          <w:r>
            <w:rPr>
              <w:lang w:val="en-CA" w:eastAsia="en-CA"/>
            </w:rPr>
            <w:t>Amendments; Waivers</w:t>
            <w:tab/>
          </w:r>
          <w:hyperlink w:anchor="__RefHeading___Toc507407922">
            <w:r>
              <w:rPr>
                <w:rStyle w:val="IndexLink"/>
                <w:lang w:val="en-CA" w:eastAsia="en-CA"/>
              </w:rPr>
              <w:t>27</w:t>
            </w:r>
          </w:hyperlink>
        </w:p>
        <w:p>
          <w:pPr>
            <w:pStyle w:val="TOC2"/>
            <w:tabs>
              <w:tab w:val="clear" w:pos="720"/>
              <w:tab w:val="left" w:pos="960" w:leader="none"/>
              <w:tab w:val="right" w:pos="8702" w:leader="dot"/>
            </w:tabs>
            <w:rPr>
              <w:bCs w:val="false"/>
              <w:lang w:val="en-CA" w:eastAsia="en-CA"/>
            </w:rPr>
          </w:pPr>
          <w:r>
            <w:rPr>
              <w:lang w:val="en-CA" w:eastAsia="en-CA"/>
            </w:rPr>
            <w:t>12.12</w:t>
          </w:r>
          <w:r>
            <w:rPr>
              <w:bCs w:val="false"/>
              <w:lang w:val="en-CA" w:eastAsia="en-CA"/>
            </w:rPr>
            <w:tab/>
          </w:r>
          <w:r>
            <w:rPr>
              <w:lang w:val="en-CA" w:eastAsia="en-CA"/>
            </w:rPr>
            <w:t>Arbitration</w:t>
            <w:tab/>
          </w:r>
          <w:hyperlink w:anchor="__RefHeading___Toc507407923">
            <w:r>
              <w:rPr>
                <w:rStyle w:val="IndexLink"/>
                <w:lang w:val="en-CA" w:eastAsia="en-CA"/>
              </w:rPr>
              <w:t>27</w:t>
            </w:r>
          </w:hyperlink>
        </w:p>
        <w:p>
          <w:pPr>
            <w:pStyle w:val="TOC2"/>
            <w:tabs>
              <w:tab w:val="clear" w:pos="720"/>
              <w:tab w:val="left" w:pos="960" w:leader="none"/>
              <w:tab w:val="right" w:pos="8702" w:leader="dot"/>
            </w:tabs>
            <w:rPr>
              <w:bCs w:val="false"/>
              <w:lang w:val="en-CA" w:eastAsia="en-CA"/>
            </w:rPr>
          </w:pPr>
          <w:r>
            <w:rPr>
              <w:lang w:val="en-CA" w:eastAsia="en-CA"/>
            </w:rPr>
            <w:t>12.13</w:t>
          </w:r>
          <w:r>
            <w:rPr>
              <w:bCs w:val="false"/>
              <w:lang w:val="en-CA" w:eastAsia="en-CA"/>
            </w:rPr>
            <w:tab/>
          </w:r>
          <w:r>
            <w:rPr>
              <w:lang w:val="en-CA" w:eastAsia="en-CA"/>
            </w:rPr>
            <w:t>Injunctive Relief</w:t>
            <w:tab/>
          </w:r>
          <w:hyperlink w:anchor="__RefHeading___Toc507407924">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12.14</w:t>
          </w:r>
          <w:r>
            <w:rPr>
              <w:bCs w:val="false"/>
              <w:lang w:val="en-CA" w:eastAsia="en-CA"/>
            </w:rPr>
            <w:tab/>
          </w:r>
          <w:r>
            <w:rPr>
              <w:lang w:val="en-CA" w:eastAsia="en-CA"/>
            </w:rPr>
            <w:t>Governing Law.</w:t>
            <w:tab/>
          </w:r>
          <w:hyperlink w:anchor="__RefHeading___Toc507407925">
            <w:r>
              <w:rPr>
                <w:rStyle w:val="IndexLink"/>
                <w:lang w:val="en-CA" w:eastAsia="en-CA"/>
              </w:rPr>
              <w:t>29</w:t>
            </w:r>
          </w:hyperlink>
          <w:r>
            <w:rPr>
              <w:rStyle w:val="IndexLink"/>
              <w:lang w:val="en-CA" w:eastAsia="en-CA"/>
            </w:rPr>
            <w:fldChar w:fldCharType="end"/>
          </w:r>
        </w:p>
      </w:sdtContent>
    </w:sdt>
    <w:p>
      <w:pPr>
        <w:pStyle w:val="TOC2"/>
        <w:rPr>
          <w:b/>
          <w:bCs w:val="false"/>
          <w:caps/>
          <w:lang w:val="en-CA" w:eastAsia="en-CA"/>
        </w:rPr>
      </w:pPr>
      <w:r>
        <w:rPr>
          <w:b/>
          <w:bCs w:val="false"/>
          <w:caps/>
          <w:lang w:val="en-CA" w:eastAsia="en-CA"/>
        </w:rPr>
      </w:r>
    </w:p>
    <w:p>
      <w:pPr>
        <w:pStyle w:val="TOC2"/>
        <w:rPr>
          <w:b/>
          <w:bCs w:val="false"/>
          <w:caps/>
        </w:rPr>
      </w:pPr>
      <w:r>
        <w:rPr>
          <w:b/>
          <w:bCs w:val="false"/>
          <w:caps/>
        </w:rPr>
      </w:r>
      <w:r>
        <w:br w:type="page"/>
      </w:r>
    </w:p>
    <w:p>
      <w:pPr>
        <w:pStyle w:val="VEBodyText"/>
        <w:rPr/>
      </w:pPr>
      <w:r>
        <w:rPr/>
        <w:t>Exhibits:</w:t>
      </w:r>
    </w:p>
    <w:p>
      <w:pPr>
        <w:pStyle w:val="VEBodyTextNoSpace"/>
        <w:rPr/>
      </w:pPr>
      <w:r>
        <w:rPr/>
        <w:tab/>
        <w:t>A</w:t>
        <w:tab/>
        <w:t>Description of the Kiodex Application</w:t>
      </w:r>
    </w:p>
    <w:p>
      <w:pPr>
        <w:pStyle w:val="VEBodyTextNoSpace"/>
        <w:rPr/>
      </w:pPr>
      <w:r>
        <w:rPr/>
        <w:tab/>
        <w:t>B</w:t>
        <w:tab/>
        <w:t>Description of the Kiodex Lite Tool</w:t>
      </w:r>
    </w:p>
    <w:p>
      <w:pPr>
        <w:pStyle w:val="VEBodyTextNoSpace"/>
        <w:rPr/>
      </w:pPr>
      <w:r>
        <w:rPr/>
        <w:tab/>
        <w:t>C</w:t>
        <w:tab/>
        <w:t>Co-Marketing Obligations</w:t>
      </w:r>
    </w:p>
    <w:p>
      <w:pPr>
        <w:pStyle w:val="VEBodyTextNoSpace"/>
        <w:rPr/>
      </w:pPr>
      <w:r>
        <w:rPr/>
        <w:tab/>
        <w:t>D</w:t>
        <w:tab/>
        <w:t>Form of Warrant</w:t>
      </w:r>
    </w:p>
    <w:p>
      <w:pPr>
        <w:pStyle w:val="VEBodyTextNoSpace"/>
        <w:rPr/>
      </w:pPr>
      <w:r>
        <w:rPr/>
        <w:tab/>
        <w:t>E</w:t>
        <w:tab/>
        <w:t>Kiodex Operations</w:t>
      </w:r>
    </w:p>
    <w:p>
      <w:pPr>
        <w:pStyle w:val="VEBodyTextNoSpace"/>
        <w:rPr/>
      </w:pPr>
      <w:r>
        <w:rPr/>
        <w:tab/>
        <w:t>F</w:t>
        <w:tab/>
        <w:t>Form of Consent and Release</w:t>
      </w:r>
    </w:p>
    <w:p>
      <w:pPr>
        <w:pStyle w:val="VEBodyTextNoSpace"/>
        <w:rPr/>
      </w:pPr>
      <w:r>
        <w:rPr/>
        <w:tab/>
        <w:t>G</w:t>
        <w:tab/>
        <w:t>Kiodex Lite Terms and Conditions of Use</w:t>
      </w:r>
    </w:p>
    <w:p>
      <w:pPr>
        <w:pStyle w:val="VEBodyTextNoSpace"/>
        <w:rPr/>
      </w:pPr>
      <w:r>
        <w:rPr/>
        <w:tab/>
        <w:t>H</w:t>
        <w:tab/>
        <w:t>Form of Legal Opinion</w:t>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TOC2"/>
        <w:rPr/>
      </w:pPr>
      <w:r>
        <w:rPr/>
      </w:r>
    </w:p>
    <w:p>
      <w:pPr>
        <w:pStyle w:val="VECenteredText"/>
        <w:rPr/>
      </w:pPr>
      <w:r>
        <w:rPr>
          <w:rStyle w:val="VEBold"/>
        </w:rPr>
        <w:t>CO-MARKETING AGREEMENT</w:t>
      </w:r>
    </w:p>
    <w:p>
      <w:pPr>
        <w:pStyle w:val="VEBodyText"/>
        <w:rPr/>
      </w:pPr>
      <w:r>
        <w:rPr/>
        <w:tab/>
        <w:t>This Co-Marketing Agreement (this “</w:t>
      </w:r>
      <w:r>
        <w:rPr>
          <w:rStyle w:val="VEUnderline"/>
        </w:rPr>
        <w:t>Agreement</w:t>
      </w:r>
      <w:r>
        <w:rPr/>
        <w:t>”) is made effective as of [_________,] 2001 (the “</w:t>
      </w:r>
      <w:r>
        <w:rPr>
          <w:rStyle w:val="VEUnderline"/>
        </w:rPr>
        <w:t>Effective Date</w:t>
      </w:r>
      <w:r>
        <w:rPr/>
        <w:t>”), by and between Kiodex, Inc., a Delaware corporation with offices at 3 New York Plaza, 15th Floor, New York, NY 10004 (“</w:t>
      </w:r>
      <w:r>
        <w:rPr>
          <w:rStyle w:val="VEUnderline"/>
        </w:rPr>
        <w:t>Kiodex</w:t>
      </w:r>
      <w:r>
        <w:rPr/>
        <w:t>”), and Enron Net Works LLC, a Delaware limited liability company with offices at 1400 Smith Street, Houston, TX 77002 (“</w:t>
      </w:r>
      <w:r>
        <w:rPr>
          <w:rStyle w:val="VEUnderline"/>
        </w:rPr>
        <w:t>Enron</w:t>
      </w:r>
      <w:r>
        <w:rPr/>
        <w:t>”).</w:t>
      </w:r>
    </w:p>
    <w:p>
      <w:pPr>
        <w:pStyle w:val="VECenteredText"/>
        <w:rPr/>
      </w:pPr>
      <w:r>
        <w:rPr>
          <w:rStyle w:val="VEBold"/>
        </w:rPr>
        <w:t>RECITALS</w:t>
      </w:r>
    </w:p>
    <w:p>
      <w:pPr>
        <w:pStyle w:val="VEBodyText"/>
        <w:ind w:firstLine="720" w:end="0"/>
        <w:rPr/>
      </w:pPr>
      <w:r>
        <w:rPr/>
        <w:t xml:space="preserve">WHEREAS, Kiodex is developing certain technology deployable over the Internet that provides end users thereof with risk management and related services and information in connection with the trading of derivative products (as described in more detail in </w:t>
      </w:r>
      <w:r>
        <w:rPr>
          <w:rStyle w:val="VEUnderline"/>
        </w:rPr>
        <w:t>Exhibit A</w:t>
      </w:r>
      <w:r>
        <w:rPr/>
        <w:t xml:space="preserve"> and including all enhancements, Updates and new versions, the “</w:t>
      </w:r>
      <w:r>
        <w:rPr>
          <w:rStyle w:val="VEUnderline"/>
        </w:rPr>
        <w:t>Kiodex Application</w:t>
      </w:r>
      <w:r>
        <w:rPr/>
        <w:t>”);</w:t>
      </w:r>
    </w:p>
    <w:p>
      <w:pPr>
        <w:pStyle w:val="VEBodyText"/>
        <w:rPr/>
      </w:pPr>
      <w:r>
        <w:rPr/>
        <w:tab/>
        <w:t>WHEREAS, Enron and Kiodex desire to enter into an arrangement under which Enron will offer to Enron Customers (defined below) limited access to a free version of the Kiodex Application that has reduced functionality (defined below as “</w:t>
      </w:r>
      <w:r>
        <w:rPr>
          <w:rStyle w:val="VEUnderline"/>
        </w:rPr>
        <w:t>Kiodex Lite Tool</w:t>
      </w:r>
      <w:r>
        <w:rPr/>
        <w:t xml:space="preserve">”),  </w:t>
      </w:r>
      <w:r>
        <w:rPr>
          <w:rStyle w:val="VEBold"/>
        </w:rPr>
        <w:t>[Kiodex should feel free to use a different term; this term is used to distinguish it from the full Kiodex Application that has complete functionality]</w:t>
      </w:r>
      <w:r>
        <w:rPr/>
        <w:t xml:space="preserve"> and Kiodex will provide free reports from the Kiodex Lite Tool to Enron for display to Enron Customers on the Enron Web Site; and</w:t>
      </w:r>
    </w:p>
    <w:p>
      <w:pPr>
        <w:pStyle w:val="VEBodyText"/>
        <w:rPr/>
      </w:pPr>
      <w:r>
        <w:rPr/>
        <w:tab/>
        <w:t>WHEREAS, if an Enron Customer desires to obtain a full range of risk products and services from Kiodex, Enron and Kiodex desire to establish the basis upon which Enron’s transaction data related to such customer will be transmitted to Kiodex and used by Kiodex for the sole benefit of such customer, after obtaining the express consent of the customer; and</w:t>
      </w:r>
    </w:p>
    <w:p>
      <w:pPr>
        <w:pStyle w:val="VEBodyText"/>
        <w:rPr/>
      </w:pPr>
      <w:r>
        <w:rPr/>
        <w:tab/>
        <w:t xml:space="preserve">WHEREAS, in consideration for Enron’s execution and delivery of this Agreement, Kiodex is issuing to Enron warrants to purchase 2,279,613 shares of Kiodex Common Stock on the terms and conditions set forth herein; and </w:t>
      </w:r>
    </w:p>
    <w:p>
      <w:pPr>
        <w:pStyle w:val="VEBodyText"/>
        <w:rPr/>
      </w:pPr>
      <w:r>
        <w:rPr/>
        <w:tab/>
        <w:t>NOW, THEREFORE, in consideration of the mutual promises and covenants contained herein, and for other good and valuable consideration, the receipt and sufficiency of which is hereby acknowledged, the parties hereby agree as follows:</w:t>
      </w:r>
    </w:p>
    <w:p>
      <w:pPr>
        <w:pStyle w:val="VENumbered1"/>
        <w:numPr>
          <w:ilvl w:val="0"/>
          <w:numId w:val="7"/>
        </w:numPr>
        <w:ind w:hanging="0" w:start="0"/>
        <w:rPr/>
      </w:pPr>
      <w:r>
        <w:rPr/>
        <w:t>DEFINITIONS</w:t>
      </w:r>
    </w:p>
    <w:p>
      <w:pPr>
        <w:pStyle w:val="VENumbered2"/>
        <w:numPr>
          <w:ilvl w:val="1"/>
          <w:numId w:val="7"/>
        </w:numPr>
        <w:ind w:hanging="0" w:start="0"/>
        <w:rPr>
          <w:vanish/>
          <w:color w:val="0000FF"/>
        </w:rPr>
      </w:pPr>
      <w:bookmarkStart w:id="0" w:name="__RefHeading___Toc507407859"/>
      <w:bookmarkEnd w:id="0"/>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
        <w:ind w:firstLine="720" w:end="0"/>
        <w:rPr/>
      </w:pPr>
      <w:r>
        <w:rPr/>
        <w:t>“</w:t>
      </w:r>
      <w:r>
        <w:rPr>
          <w:rStyle w:val="VEUnderlin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
        <w:ind w:firstLine="720" w:end="0"/>
        <w:rPr/>
      </w:pPr>
      <w:r>
        <w:rPr/>
        <w:t>“</w:t>
      </w:r>
      <w:r>
        <w:rPr>
          <w:rStyle w:val="VEUnderline"/>
        </w:rPr>
        <w:t>Bankruptcy Event</w:t>
      </w:r>
      <w:r>
        <w:rPr/>
        <w:t>” means, with respect to a specified Person,</w:t>
      </w:r>
    </w:p>
    <w:p>
      <w:pPr>
        <w:pStyle w:val="VEBodyText"/>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
        <w:ind w:firstLine="720" w:end="0"/>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
        <w:ind w:firstLine="720" w:end="0"/>
        <w:rPr/>
      </w:pPr>
      <w:r>
        <w:rPr/>
        <w:t>“</w:t>
      </w:r>
      <w:r>
        <w:rPr>
          <w:rStyle w:val="VEUnderline"/>
        </w:rPr>
        <w:t>Change of Control</w:t>
      </w:r>
      <w:r>
        <w:rPr/>
        <w:t xml:space="preserve">” means any transaction or event in which any “person” or “group” (within the meaning of those terms under Sections 13(d) and 14(d)(2) of the Securities Exchange Act of 1934 (as amended, the “Exchange Act”)) directly or indirectly (i) acquire or possess beneficial ownership (as defined in Rule 13d-3 of the Exchange Act) of more than 50% of the outstanding voting power of Kiodex; (ii) acquire or possess the right or power to appoint a majority of the members of the Board of Directors of Kiodex; (iii) acquire all or substantially all of the assets of Kiodex; or (iv) execute an agreement to do any of (i) through (iii) above; provided, however, that neither the acquisition of _______ shares of Kiodex </w:t>
      </w:r>
      <w:r>
        <w:rPr>
          <w:b/>
          <w:bCs/>
        </w:rPr>
        <w:t>[Series A Preferred Stock]</w:t>
      </w:r>
      <w:r>
        <w:rPr/>
        <w:t xml:space="preserve"> by </w:t>
      </w:r>
      <w:r>
        <w:rPr>
          <w:b/>
          <w:bCs/>
        </w:rPr>
        <w:t>[insert name of Warburg Investor]</w:t>
      </w:r>
      <w:r>
        <w:rPr/>
        <w:t xml:space="preserve"> on or before ___________ pursuant to that certain </w:t>
      </w:r>
      <w:r>
        <w:rPr>
          <w:b/>
          <w:bCs/>
        </w:rPr>
        <w:t>[insert name of agreement by which Warburg is investing]</w:t>
      </w:r>
      <w:r>
        <w:rPr/>
        <w:t xml:space="preserve"> nor the conversion of those shares into Kiodex Common Stock pursuant to the terms thereof, will be deemed to be a Change of Control for purposes of this Agreement.  </w:t>
      </w:r>
      <w:r>
        <w:rPr>
          <w:rStyle w:val="VEBold"/>
        </w:rPr>
        <w:t>[Exact terms of this provision subject to change upon our review of capitalization table]</w:t>
      </w:r>
    </w:p>
    <w:p>
      <w:pPr>
        <w:pStyle w:val="VEBodyText"/>
        <w:ind w:firstLine="720" w:end="0"/>
        <w:rPr/>
      </w:pPr>
      <w:r>
        <w:rPr/>
        <w:t>“</w:t>
      </w:r>
      <w:r>
        <w:rPr>
          <w:rStyle w:val="VEUnderline"/>
        </w:rPr>
        <w:t>Common Stock</w:t>
      </w:r>
      <w:r>
        <w:rPr/>
        <w:t>” means common stock of Kiodex, par value $0.001 per share.</w:t>
      </w:r>
    </w:p>
    <w:p>
      <w:pPr>
        <w:pStyle w:val="VEBodyText"/>
        <w:ind w:firstLine="720" w:end="0"/>
        <w:rPr/>
      </w:pPr>
      <w:r>
        <w:rPr/>
        <w:t>“</w:t>
      </w:r>
      <w:r>
        <w:rPr>
          <w:rStyle w:val="VEUnderline"/>
        </w:rPr>
        <w:t>Competing Product</w:t>
      </w:r>
      <w:r>
        <w:rPr/>
        <w:t xml:space="preserve">” means a risk management analysis and reporting software product that contains substantially all of the features and/or characteristics of the Kiodex Application as described in </w:t>
      </w:r>
      <w:r>
        <w:rPr>
          <w:rStyle w:val="VEUnderline"/>
        </w:rPr>
        <w:t>Exhibit A</w:t>
      </w:r>
      <w:r>
        <w:rPr/>
        <w:t>.</w:t>
      </w:r>
    </w:p>
    <w:p>
      <w:pPr>
        <w:pStyle w:val="VEBodyText"/>
        <w:ind w:firstLine="720" w:end="0"/>
        <w:rPr/>
      </w:pPr>
      <w:r>
        <w:rPr/>
        <w:t>“</w:t>
      </w:r>
      <w:r>
        <w:rPr>
          <w:rStyle w:val="VEUnderline"/>
        </w:rPr>
        <w:t>Customer-Specific Enron Transaction Data</w:t>
      </w:r>
      <w:r>
        <w:rPr/>
        <w:t xml:space="preserve">”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Application for the sole benefit of that customer, where the Enron Customer identification is not encrypted and is readable by Kiodex, and the data relates to all master users and sub-users of such Enron Customer, together with all Derived Data from any of such information and data.  </w:t>
      </w:r>
    </w:p>
    <w:p>
      <w:pPr>
        <w:pStyle w:val="VEBodyText"/>
        <w:ind w:firstLine="720" w:end="0"/>
        <w:rPr/>
      </w:pPr>
      <w:r>
        <w:rPr/>
        <w:t>“</w:t>
      </w:r>
      <w:r>
        <w:rPr>
          <w:rStyle w:val="VEUnderline"/>
        </w:rPr>
        <w:t>Derived Data</w:t>
      </w:r>
      <w:r>
        <w:rPr/>
        <w:t xml:space="preserve">” means the information and data that is derived from any of the Enron Transaction Data or the Enron Market Data, and any other information or data that is produced or generated by the Kiodex Lite Tool or the Kiodex Application through the use of or reference to any of the Enron Transaction Data or the Enron Market Data. </w:t>
      </w:r>
    </w:p>
    <w:p>
      <w:pPr>
        <w:pStyle w:val="VEBodyText"/>
        <w:ind w:firstLine="720" w:end="0"/>
        <w:rPr/>
      </w:pPr>
      <w:r>
        <w:rPr/>
        <w:t>“</w:t>
      </w:r>
      <w:r>
        <w:rPr>
          <w:rStyle w:val="VEUnderline"/>
        </w:rPr>
        <w:t>Encrypted Enron Transaction Data</w:t>
      </w:r>
      <w:r>
        <w:rPr/>
        <w:t>”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Lite Tool, where the Enron Customer identification is encrypted and is not readable by Kiodex, and the data relates only to the master user who has authorized the use of the Kiodex Lite Tool and his sub-users, together with all Derived Data from any of such information and data.</w:t>
      </w:r>
    </w:p>
    <w:p>
      <w:pPr>
        <w:pStyle w:val="VEBodyText"/>
        <w:ind w:firstLine="720" w:end="0"/>
        <w:rPr/>
      </w:pPr>
      <w:r>
        <w:rPr/>
        <w:t>“</w:t>
      </w:r>
      <w:r>
        <w:rPr>
          <w:u w:val="single"/>
        </w:rPr>
        <w:t>Enron Competitor</w:t>
      </w:r>
      <w:r>
        <w:rPr/>
        <w:t xml:space="preserve">” means any online or offline trading exchange, platform or business </w:t>
      </w:r>
      <w:r>
        <w:rPr>
          <w:rStyle w:val="VEBold"/>
          <w:b w:val="false"/>
          <w:bCs/>
        </w:rPr>
        <w:t>that competes directly or indirectly with Enron.</w:t>
      </w:r>
    </w:p>
    <w:p>
      <w:pPr>
        <w:pStyle w:val="VEBodyText"/>
        <w:ind w:firstLine="720" w:end="0"/>
        <w:rPr>
          <w:rStyle w:val="VEBold"/>
        </w:rPr>
      </w:pPr>
      <w:r>
        <w:rPr/>
        <w:t>“</w:t>
      </w:r>
      <w:r>
        <w:rPr>
          <w:rStyle w:val="VEUnderline"/>
        </w:rPr>
        <w:t>Enron Customer</w:t>
      </w:r>
      <w:r>
        <w:rPr/>
        <w:t xml:space="preserve">” means any customer of Enron who has authority to access those portions of the Enron Web Site that require a user identification number and password.  </w:t>
      </w:r>
    </w:p>
    <w:p>
      <w:pPr>
        <w:pStyle w:val="VEBodyText"/>
        <w:ind w:firstLine="720" w:end="0"/>
        <w:rPr>
          <w:bCs/>
        </w:rPr>
      </w:pPr>
      <w:r>
        <w:rPr>
          <w:rStyle w:val="VEBold"/>
          <w:b w:val="false"/>
          <w:bCs/>
        </w:rPr>
        <w:t>“</w:t>
      </w:r>
      <w:r>
        <w:rPr>
          <w:rStyle w:val="VEUnderline"/>
        </w:rPr>
        <w:t>Enron Data</w:t>
      </w:r>
      <w:r>
        <w:rPr>
          <w:rStyle w:val="VEBold"/>
          <w:b w:val="false"/>
          <w:bCs/>
        </w:rPr>
        <w:t>” means any and all of the Enron Transaction Data, the Enron Market Data and the Derived Data.</w:t>
      </w:r>
    </w:p>
    <w:p>
      <w:pPr>
        <w:pStyle w:val="VEBodyText"/>
        <w:ind w:firstLine="720" w:end="0"/>
        <w:rPr/>
      </w:pPr>
      <w:r>
        <w:rPr/>
        <w:t>“</w:t>
      </w:r>
      <w:r>
        <w:rPr>
          <w:rStyle w:val="VEUnderline"/>
        </w:rPr>
        <w:t>Enron Data Feed</w:t>
      </w:r>
      <w:r>
        <w:rPr/>
        <w:t>” means the technology platform by and through which Enron will deliver the Encrypted Enron Transaction Data, Customer-Specific Enron Transaction Data, and Enron Market Data to Kiodex for use by Kiodex in accordance with this Agreement.</w:t>
      </w:r>
    </w:p>
    <w:p>
      <w:pPr>
        <w:pStyle w:val="VEBodyText"/>
        <w:ind w:firstLine="720" w:end="0"/>
        <w:rPr/>
      </w:pPr>
      <w:r>
        <w:rPr/>
        <w:t>“</w:t>
      </w:r>
      <w:r>
        <w:rPr>
          <w:u w:val="single"/>
        </w:rPr>
        <w:t xml:space="preserve">Enron </w:t>
      </w:r>
      <w:r>
        <w:rPr>
          <w:rStyle w:val="VEUnderline"/>
        </w:rPr>
        <w:t>Data Feed Launch Date</w:t>
      </w:r>
      <w:r>
        <w:rPr/>
        <w:t xml:space="preserve">” means the date that the Enron Data Feed is completed, tested and ready for use in conjunction with the use of the Kiodex Lite Tool.  </w:t>
      </w:r>
    </w:p>
    <w:p>
      <w:pPr>
        <w:pStyle w:val="VEBodyText"/>
        <w:ind w:firstLine="720" w:end="0"/>
        <w:rPr/>
      </w:pPr>
      <w:r>
        <w:rPr>
          <w:rStyle w:val="VEUnderline"/>
          <w:u w:val="none"/>
        </w:rPr>
        <w:t>“</w:t>
      </w:r>
      <w:r>
        <w:rPr>
          <w:rStyle w:val="VEUnderline"/>
        </w:rPr>
        <w:t>Enron Market Data</w:t>
      </w:r>
      <w:r>
        <w:rPr>
          <w:rStyle w:val="VEUnderline"/>
          <w:u w:val="none"/>
        </w:rPr>
        <w:t xml:space="preserve">” </w:t>
      </w:r>
      <w:r>
        <w:rPr/>
        <w:t xml:space="preserve">shall mean, for each Specified Product, the arithmetic mean of the bid price and the offer price displayed on the Enron Web Site for such Specified Product immediately prior to the time that the Enron Market Data is transmitted to the Kiodex Web Site; </w:t>
      </w:r>
      <w:r>
        <w:rPr>
          <w:u w:val="single"/>
        </w:rPr>
        <w:t>provided</w:t>
      </w:r>
      <w:r>
        <w:rPr/>
        <w:t xml:space="preserve">, </w:t>
      </w:r>
      <w:r>
        <w:rPr>
          <w:u w:val="single"/>
        </w:rPr>
        <w:t>however</w:t>
      </w:r>
      <w:r>
        <w:rPr/>
        <w:t>, that if both the bid price and the offer price for a Specified Product are not available for any reason, then the Enron Market Data for such Specified Product shall be either the bid price or the offer price that is displayed on the Enron Web Site immediately prior to the transmission of the Enron Market Data to the Kiodex Web Site.</w:t>
      </w:r>
    </w:p>
    <w:p>
      <w:pPr>
        <w:pStyle w:val="VEBodyText"/>
        <w:ind w:firstLine="720" w:end="0"/>
        <w:rPr>
          <w:rStyle w:val="VEBold"/>
        </w:rPr>
      </w:pPr>
      <w:r>
        <w:rPr/>
        <w:t>“</w:t>
      </w:r>
      <w:r>
        <w:rPr>
          <w:u w:val="single"/>
        </w:rPr>
        <w:t xml:space="preserve">Enron </w:t>
      </w:r>
      <w:r>
        <w:rPr>
          <w:rStyle w:val="VEUnderline"/>
        </w:rPr>
        <w:t>Operational Failure</w:t>
      </w:r>
      <w:r>
        <w:rPr/>
        <w:t xml:space="preserve">” means (i) any failure of any aspect of the Enron Data Feed (whether with respect to technology, personnel, or otherwise), as a result of which Enron Customers are substantially unable to initiate and/or receive Kiodex Reports through the Kiodex Lite Tool, or Kiodex Customers are substantially unable to have generated Kiodex Application Reports using Customer-Specific Enron Transaction Data transmitted to Kiodex by Enron through the Enron Data Feed, for any period of </w:t>
      </w:r>
      <w:r>
        <w:rPr>
          <w:b/>
          <w:bCs/>
        </w:rPr>
        <w:t>[two (2)]</w:t>
      </w:r>
      <w:r>
        <w:rPr/>
        <w:t xml:space="preserve"> consecutive days or on more than </w:t>
      </w:r>
      <w:r>
        <w:rPr>
          <w:b/>
          <w:bCs/>
        </w:rPr>
        <w:t>[five (5)]</w:t>
      </w:r>
      <w:r>
        <w:rPr/>
        <w:t xml:space="preserve"> occasions in any thirty (30) day period, or  (ii) any failure of any aspect of the Enron Data Feed (whether with respect to technology, personnel, or otherwise) of which Kiodex provides to Enron written notice of such failure and Enron fails to cure such failure within </w:t>
      </w:r>
      <w:r>
        <w:rPr>
          <w:rStyle w:val="VEBold"/>
        </w:rPr>
        <w:t xml:space="preserve">[ten (10)] </w:t>
      </w:r>
      <w:r>
        <w:rPr>
          <w:rStyle w:val="VEBold"/>
          <w:b w:val="false"/>
          <w:bCs/>
        </w:rPr>
        <w:t xml:space="preserve">days, and that </w:t>
      </w:r>
      <w:r>
        <w:rPr/>
        <w:t xml:space="preserve">could reasonably be expected to have a material adverse affect on the Kiodex Web Site or its business or operations.  </w:t>
      </w:r>
    </w:p>
    <w:p>
      <w:pPr>
        <w:pStyle w:val="VEBodyText"/>
        <w:ind w:firstLine="720" w:end="0"/>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 Kiodex Regulatory Event shall have occurred, the result or effect of which could reasonably be expected to have a material adverse effect on Enron or its Affiliates.</w:t>
      </w:r>
    </w:p>
    <w:p>
      <w:pPr>
        <w:pStyle w:val="VEBodyText"/>
        <w:ind w:firstLine="720" w:end="0"/>
        <w:rPr/>
      </w:pPr>
      <w:r>
        <w:rPr/>
        <w:t>“</w:t>
      </w:r>
      <w:r>
        <w:rPr>
          <w:rStyle w:val="VEUnderline"/>
        </w:rPr>
        <w:t>Enron Transaction Data</w:t>
      </w:r>
      <w:r>
        <w:rPr/>
        <w:t xml:space="preserve">” means Encrypted Enron Transaction Data and Customer-Specific Enron Transaction Data, and any Derived Data related thereto. </w:t>
      </w:r>
    </w:p>
    <w:p>
      <w:pPr>
        <w:pStyle w:val="VEBodyText"/>
        <w:ind w:firstLine="720" w:end="0"/>
        <w:rPr/>
      </w:pPr>
      <w:r>
        <w:rPr/>
        <w:t>“</w:t>
      </w:r>
      <w:r>
        <w:rPr>
          <w:rStyle w:val="VEUnderline"/>
        </w:rPr>
        <w:t>Enron Web Site</w:t>
      </w:r>
      <w:r>
        <w:rPr/>
        <w:t>” means Enron’s World Wide Web Site currently having the URL:  http://www.enrononline.com, and any successor site thereto that is Enron’s primary electronic trading platform for a Specified Product.</w:t>
      </w:r>
    </w:p>
    <w:p>
      <w:pPr>
        <w:pStyle w:val="VEBodyText"/>
        <w:ind w:firstLine="720" w:end="0"/>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any rights associated with patents and patent applications, and (v) any divisions, continuations, renewals, and re-issuances of any of the foregoing rights in any medium, whether now existing or acquired in the future; and (vi) in the case of any of the foregoing, any other proprietary rights inherent therein and/or appurtenant thereto.</w:t>
      </w:r>
    </w:p>
    <w:p>
      <w:pPr>
        <w:pStyle w:val="VEBodyText"/>
        <w:ind w:firstLine="720" w:end="0"/>
        <w:rPr/>
      </w:pPr>
      <w:r>
        <w:rPr/>
        <w:t>“</w:t>
      </w:r>
      <w:r>
        <w:rPr>
          <w:u w:val="single"/>
        </w:rPr>
        <w:t>Kiodex Application Reports</w:t>
      </w:r>
      <w:r>
        <w:rPr/>
        <w:t xml:space="preserve">” means the reports generated by the Kiodex Application and provided to Kiodex Customers through the Kiodex Web Site.  </w:t>
      </w:r>
    </w:p>
    <w:p>
      <w:pPr>
        <w:pStyle w:val="VEBodyText"/>
        <w:ind w:firstLine="720" w:end="0"/>
        <w:rPr/>
      </w:pPr>
      <w:r>
        <w:rPr/>
        <w:t>“</w:t>
      </w:r>
      <w:r>
        <w:rPr>
          <w:rStyle w:val="VEUnderline"/>
        </w:rPr>
        <w:t>Kiodex Customer</w:t>
      </w:r>
      <w:r>
        <w:rPr/>
        <w:t>” means any customer of Kiodex.</w:t>
      </w:r>
    </w:p>
    <w:p>
      <w:pPr>
        <w:pStyle w:val="VEBodyText"/>
        <w:ind w:firstLine="720" w:end="0"/>
        <w:rPr/>
      </w:pPr>
      <w:r>
        <w:rPr/>
        <w:t>“</w:t>
      </w:r>
      <w:r>
        <w:rPr>
          <w:rStyle w:val="VEUnderline"/>
        </w:rPr>
        <w:t>Kiodex Customer Agreement</w:t>
      </w:r>
      <w:r>
        <w:rPr/>
        <w:t>” means the agreement between Kiodex and each Kiodex Customer, pursuant to which Kiodex agrees to provide such customer with reports from the Kiodex Application through the Kiodex Web Site.</w:t>
      </w:r>
    </w:p>
    <w:p>
      <w:pPr>
        <w:pStyle w:val="VEBodyText"/>
        <w:ind w:firstLine="720" w:end="0"/>
        <w:rPr/>
      </w:pPr>
      <w:r>
        <w:rPr>
          <w:rStyle w:val="VEBold"/>
          <w:b w:val="false"/>
          <w:bCs/>
        </w:rPr>
        <w:t>“</w:t>
      </w:r>
      <w:r>
        <w:rPr>
          <w:rStyle w:val="VEUnderline"/>
        </w:rPr>
        <w:t>Kiodex Links</w:t>
      </w:r>
      <w:r>
        <w:rPr>
          <w:rStyle w:val="VEBold"/>
          <w:b w:val="false"/>
          <w:bCs/>
        </w:rPr>
        <w:t>” means hypertext links to the Kiodex Web Site or subdomains therein.</w:t>
      </w:r>
    </w:p>
    <w:p>
      <w:pPr>
        <w:pStyle w:val="VEBodyText"/>
        <w:ind w:firstLine="720" w:end="0"/>
        <w:rPr>
          <w:bCs/>
        </w:rPr>
      </w:pPr>
      <w:r>
        <w:rPr/>
        <w:t>“</w:t>
      </w:r>
      <w:r>
        <w:rPr>
          <w:rStyle w:val="VEUnderline"/>
        </w:rPr>
        <w:t>Kiodex Lite Reports</w:t>
      </w:r>
      <w:r>
        <w:rPr/>
        <w:t>” means the reports including, at a minimum, mark-to-market and profit and loss reports, that are generated by the Kiodex Lite Tool and provided to Enron for display to Enron Customers through the Enron Web Site.</w:t>
      </w:r>
      <w:r>
        <w:rPr>
          <w:rStyle w:val="VEBold"/>
          <w:b w:val="false"/>
          <w:bCs/>
        </w:rPr>
        <w:t xml:space="preserve">  </w:t>
      </w:r>
    </w:p>
    <w:p>
      <w:pPr>
        <w:pStyle w:val="VEBodyText"/>
        <w:ind w:firstLine="720" w:end="0"/>
        <w:rPr/>
      </w:pPr>
      <w:r>
        <w:rPr/>
        <w:t>“</w:t>
      </w:r>
      <w:r>
        <w:rPr>
          <w:rStyle w:val="VEUnderline"/>
        </w:rPr>
        <w:t>Kiodex Lite Tool</w:t>
      </w:r>
      <w:r>
        <w:rPr/>
        <w:t>” means the risk management software being developed by Kiodex which uses certain features of the Kiodex Application to generate the Kiodex Lite Reports based on the Encrypted Enron Transaction Data and the Enron Market Data, and any Updates, enhancements and new versions to such software.</w:t>
      </w:r>
    </w:p>
    <w:p>
      <w:pPr>
        <w:pStyle w:val="VEBodyText"/>
        <w:ind w:firstLine="720" w:end="0"/>
        <w:rPr/>
      </w:pPr>
      <w:r>
        <w:rPr/>
        <w:t>“</w:t>
      </w:r>
      <w:r>
        <w:rPr>
          <w:rStyle w:val="VEUnderline"/>
        </w:rPr>
        <w:t>Kiodex Lite Tool Launch Date</w:t>
      </w:r>
      <w:r>
        <w:rPr/>
        <w:t xml:space="preserve">” means the date that the Kiodex Lite Tool is made commercially available to Enron Customers, as determined in accordance with </w:t>
      </w:r>
      <w:r>
        <w:rPr>
          <w:rStyle w:val="VEUnderline"/>
        </w:rPr>
        <w:t>Article III</w:t>
      </w:r>
      <w:r>
        <w:rPr/>
        <w:t xml:space="preserve">.  </w:t>
      </w:r>
    </w:p>
    <w:p>
      <w:pPr>
        <w:pStyle w:val="VEBodyText"/>
        <w:ind w:firstLine="720" w:end="0"/>
        <w:rPr>
          <w:rStyle w:val="VEBold"/>
        </w:rPr>
      </w:pPr>
      <w:r>
        <w:rPr/>
        <w:t>“</w:t>
      </w:r>
      <w:r>
        <w:rPr>
          <w:rStyle w:val="VEUnderline"/>
        </w:rPr>
        <w:t>Kiodex Operational Failure</w:t>
      </w:r>
      <w:r>
        <w:rPr/>
        <w:t xml:space="preserve">” means (i) any failure of any aspect of the Kiodex Web Site or Kiodex Systems (whether with respect to technology, personnel, or otherwise), as a result of which Enron Customers are substantially unable to initiate and/or receive Kiodex Lite Reports through the Kiodex Lite Tool for any period of </w:t>
      </w:r>
      <w:r>
        <w:rPr>
          <w:b/>
          <w:bCs/>
        </w:rPr>
        <w:t>[two (2)]</w:t>
      </w:r>
      <w:r>
        <w:rPr/>
        <w:t xml:space="preserve"> consecutive days or on more than </w:t>
      </w:r>
      <w:r>
        <w:rPr>
          <w:b/>
          <w:bCs/>
        </w:rPr>
        <w:t>[five (5)]</w:t>
      </w:r>
      <w:r>
        <w:rPr/>
        <w:t xml:space="preserve"> occasions in any thirty (30) day period, (ii) any failure of Kiodex to meet any of the operational or security requirements set forth in this Agreement for any period of </w:t>
      </w:r>
      <w:r>
        <w:rPr>
          <w:b/>
          <w:bCs/>
        </w:rPr>
        <w:t>[ten (10)]</w:t>
      </w:r>
      <w:r>
        <w:rPr/>
        <w:t xml:space="preserve"> consecutive days or on more than </w:t>
      </w:r>
      <w:r>
        <w:rPr>
          <w:b/>
          <w:bCs/>
        </w:rPr>
        <w:t xml:space="preserve">[five (5)] </w:t>
      </w:r>
      <w:r>
        <w:rPr/>
        <w:t xml:space="preserve">occasions in any thirty (30) day period, or (iii) any failure of any aspect of the Kiodex Web Site or Kiodex Systems (whether with respect to technology, personnel, or otherwise) that could reasonably be expected to have a material adverse affect on the Enron Web Site, its business or operations, or upon any Enron Customer.  </w:t>
      </w:r>
    </w:p>
    <w:p>
      <w:pPr>
        <w:pStyle w:val="VEBodyText"/>
        <w:ind w:firstLine="720" w:end="0"/>
        <w:rPr/>
      </w:pPr>
      <w:r>
        <w:rPr/>
        <w:t>“</w:t>
      </w:r>
      <w:r>
        <w:rPr>
          <w:u w:val="single"/>
        </w:rPr>
        <w:t xml:space="preserve">Kiodex </w:t>
      </w:r>
      <w:r>
        <w:rPr>
          <w:rStyle w:val="VEUnderline"/>
        </w:rPr>
        <w:t>Regulatory Event</w:t>
      </w:r>
      <w:r>
        <w:rPr/>
        <w:t>” means any event brought about solely as a result of the execution or performance by Kiodex of its obligations hereunder the result or effect of which is that any of Kiodex, its Affiliates, their respective officers, directors, or employees, the Kiodex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Kiodex or its Affiliates.</w:t>
      </w:r>
    </w:p>
    <w:p>
      <w:pPr>
        <w:pStyle w:val="VEBodyText"/>
        <w:ind w:firstLine="720" w:end="0"/>
        <w:rPr/>
      </w:pPr>
      <w:r>
        <w:rPr/>
        <w:t>“</w:t>
      </w:r>
      <w:r>
        <w:rPr>
          <w:rStyle w:val="VEUnderline"/>
        </w:rPr>
        <w:t>Kiodex Reports</w:t>
      </w:r>
      <w:r>
        <w:rPr/>
        <w:t>” means the Kiodex Lite Reports and the Kiodex Application Reports.</w:t>
      </w:r>
    </w:p>
    <w:p>
      <w:pPr>
        <w:pStyle w:val="VEBodyText"/>
        <w:ind w:firstLine="720" w:end="0"/>
        <w:rPr/>
      </w:pPr>
      <w:r>
        <w:rPr/>
        <w:t>“</w:t>
      </w:r>
      <w:r>
        <w:rPr>
          <w:rStyle w:val="VEUnderline"/>
        </w:rPr>
        <w:t>Kiodex Systems</w:t>
      </w:r>
      <w:r>
        <w:rPr/>
        <w:t>” means the technology platform under the control of Kiodex, an Affiliate of Kiodex or a third party contractor retained by Kiodex or its Affiliate, to provide Internet hosting services to Kiodex.</w:t>
      </w:r>
    </w:p>
    <w:p>
      <w:pPr>
        <w:pStyle w:val="VEBodyText"/>
        <w:ind w:firstLine="720" w:end="0"/>
        <w:rPr/>
      </w:pPr>
      <w:r>
        <w:rPr/>
        <w:t>“</w:t>
      </w:r>
      <w:r>
        <w:rPr>
          <w:rStyle w:val="VEUnderline"/>
        </w:rPr>
        <w:t>Kiodex Web Site</w:t>
      </w:r>
      <w:r>
        <w:rPr/>
        <w:t>” means Kiodex’s World Wide Web Site having the URL:  www.kiodex.com, which incorporates the Kiodex Application and the Kiodex Lite Tool, and any subdomains or successor sites thereto.</w:t>
      </w:r>
    </w:p>
    <w:p>
      <w:pPr>
        <w:pStyle w:val="VEBodyText"/>
        <w:ind w:firstLine="720" w:end="0"/>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
        <w:ind w:firstLine="720" w:end="0"/>
        <w:rPr/>
      </w:pPr>
      <w:r>
        <w:rPr/>
        <w:t>“</w:t>
      </w:r>
      <w:r>
        <w:rPr>
          <w:rStyle w:val="VEUnderline"/>
        </w:rPr>
        <w:t>Qualified Users</w:t>
      </w:r>
      <w:r>
        <w:rPr/>
        <w:t xml:space="preserve">” means (i) any Enron Customer for whom Enron has provided at any time Customer-Specific Transaction Data pursuant to the terms of </w:t>
      </w:r>
      <w:r>
        <w:rPr>
          <w:rStyle w:val="VEUnderline"/>
        </w:rPr>
        <w:t>Section 5.2</w:t>
      </w:r>
      <w:r>
        <w:rPr/>
        <w:t>, and (ii) any Enron Customer who enters into an Kiodex Customer Agreement either (A) through a Kiodex Link on the Enron Web Site (to the extent traceable through both parties’ commercially reasonable efforts) or (B) can otherwise be attributable to Enron’s promotion of Kiodex on the Enron Web Site or otherwise (such as an Enron Customer who indicates in connection with registering with Kiodex in the space provided for such purposes that such person learned of Kiodex or the Kiodex Application from Enron or the Enron Web Site).  Once a Qualified User has been identified, it will be treated as a Qualified User whether or not it continues to remain a Kiodex Customer.</w:t>
      </w:r>
    </w:p>
    <w:p>
      <w:pPr>
        <w:pStyle w:val="VEBodyText"/>
        <w:ind w:firstLine="720" w:end="0"/>
        <w:rPr/>
      </w:pPr>
      <w:r>
        <w:rPr>
          <w:rFonts w:cs="Times New Roman"/>
        </w:rPr>
        <w:t xml:space="preserve"> </w:t>
      </w:r>
      <w:r>
        <w:rPr/>
        <w:t>“</w:t>
      </w:r>
      <w:r>
        <w:rPr>
          <w:rStyle w:val="VEUnderline"/>
        </w:rPr>
        <w:t>Specified Products</w:t>
      </w:r>
      <w:r>
        <w:rPr/>
        <w:t>” shall mean (i) North American natural gas; and (ii) crude and refined products; and such other products or commodities that may be added by mutual agreement of Enron and Kiodex from time to time.</w:t>
      </w:r>
    </w:p>
    <w:p>
      <w:pPr>
        <w:pStyle w:val="VEBodyText"/>
        <w:ind w:firstLine="720" w:end="0"/>
        <w:rPr/>
      </w:pPr>
      <w:r>
        <w:rPr/>
        <w:t>“</w:t>
      </w:r>
      <w:r>
        <w:rPr>
          <w:rStyle w:val="VEUnderline"/>
        </w:rPr>
        <w:t>Update</w:t>
      </w:r>
      <w:r>
        <w:rPr/>
        <w:t>” means a subsequent release of the Kiodex Lite Tool that Kiodex makes generally available to its licensees for no additional license fee.</w:t>
      </w:r>
    </w:p>
    <w:p>
      <w:pPr>
        <w:pStyle w:val="VENumbered2"/>
        <w:numPr>
          <w:ilvl w:val="1"/>
          <w:numId w:val="7"/>
        </w:numPr>
        <w:ind w:hanging="0" w:start="0"/>
        <w:rPr>
          <w:vanish/>
          <w:color w:val="0000FF"/>
        </w:rPr>
      </w:pPr>
      <w:bookmarkStart w:id="1" w:name="__RefHeading___Toc507407860"/>
      <w:bookmarkEnd w:id="1"/>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t>12.12(c)</w:t>
      </w:r>
    </w:p>
    <w:p>
      <w:pPr>
        <w:pStyle w:val="VEBodyTextNoSpace"/>
        <w:tabs>
          <w:tab w:val="clear" w:pos="720"/>
          <w:tab w:val="left" w:pos="6192" w:leader="dot"/>
        </w:tabs>
        <w:ind w:start="1440" w:end="0"/>
        <w:rPr/>
      </w:pPr>
      <w:r>
        <w:rPr/>
        <w:t>Arbitration Notice</w:t>
        <w:tab/>
        <w:t>12.12(b)</w:t>
      </w:r>
    </w:p>
    <w:p>
      <w:pPr>
        <w:pStyle w:val="VEBodyTextNoSpace"/>
        <w:tabs>
          <w:tab w:val="clear" w:pos="720"/>
          <w:tab w:val="left" w:pos="6192" w:leader="dot"/>
        </w:tabs>
        <w:ind w:start="1440" w:end="0"/>
        <w:rPr/>
      </w:pPr>
      <w:r>
        <w:rPr/>
        <w:t>Claims</w:t>
        <w:tab/>
        <w:t>12.12(a)</w:t>
      </w:r>
    </w:p>
    <w:p>
      <w:pPr>
        <w:pStyle w:val="VEBodyTextNoSpace"/>
        <w:tabs>
          <w:tab w:val="clear" w:pos="720"/>
          <w:tab w:val="left" w:pos="6192" w:leader="dot"/>
        </w:tabs>
        <w:ind w:start="1440" w:end="0"/>
        <w:rPr/>
      </w:pPr>
      <w:r>
        <w:rPr/>
        <w:t>Confidential Information</w:t>
        <w:tab/>
        <w:t>12.2</w:t>
      </w:r>
    </w:p>
    <w:p>
      <w:pPr>
        <w:pStyle w:val="VEBodyTextNoSpace"/>
        <w:tabs>
          <w:tab w:val="clear" w:pos="720"/>
          <w:tab w:val="left" w:pos="6192" w:leader="dot"/>
        </w:tabs>
        <w:ind w:start="1440" w:end="0"/>
        <w:rPr/>
      </w:pPr>
      <w:r>
        <w:rPr/>
        <w:t>Consent and Release</w:t>
        <w:tab/>
        <w:t>5.1(a)</w:t>
      </w:r>
    </w:p>
    <w:p>
      <w:pPr>
        <w:pStyle w:val="VEBodyTextNoSpace"/>
        <w:tabs>
          <w:tab w:val="clear" w:pos="720"/>
          <w:tab w:val="left" w:pos="6192" w:leader="dot"/>
        </w:tabs>
        <w:ind w:start="1440" w:end="0"/>
        <w:rPr/>
      </w:pPr>
      <w:r>
        <w:rPr/>
        <w:t>Effective Date</w:t>
        <w:tab/>
        <w:t>First paragraph</w:t>
      </w:r>
    </w:p>
    <w:p>
      <w:pPr>
        <w:pStyle w:val="VEBodyTextNoSpace"/>
        <w:tabs>
          <w:tab w:val="clear" w:pos="720"/>
          <w:tab w:val="left" w:pos="6192" w:leader="dot"/>
        </w:tabs>
        <w:ind w:start="1440" w:end="0"/>
        <w:rPr/>
      </w:pPr>
      <w:r>
        <w:rPr/>
        <w:t>Enron Indemnitee</w:t>
        <w:tab/>
        <w:t>11.1(a)</w:t>
      </w:r>
    </w:p>
    <w:p>
      <w:pPr>
        <w:pStyle w:val="VEBodyTextNoSpace"/>
        <w:tabs>
          <w:tab w:val="clear" w:pos="720"/>
          <w:tab w:val="left" w:pos="6192" w:leader="dot"/>
        </w:tabs>
        <w:ind w:start="1440" w:end="0"/>
        <w:rPr/>
      </w:pPr>
      <w:r>
        <w:rPr/>
        <w:t>Exclusivity Period</w:t>
        <w:tab/>
        <w:t>2.4(a)</w:t>
      </w:r>
    </w:p>
    <w:p>
      <w:pPr>
        <w:pStyle w:val="VEBodyTextNoSpace"/>
        <w:tabs>
          <w:tab w:val="clear" w:pos="720"/>
          <w:tab w:val="left" w:pos="6192" w:leader="dot"/>
        </w:tabs>
        <w:ind w:start="1440" w:end="0"/>
        <w:rPr/>
      </w:pPr>
      <w:r>
        <w:rPr/>
        <w:t>Kiodex Application</w:t>
        <w:tab/>
        <w:t>Recitals</w:t>
      </w:r>
    </w:p>
    <w:p>
      <w:pPr>
        <w:pStyle w:val="VEBodyTextNoSpace"/>
        <w:tabs>
          <w:tab w:val="clear" w:pos="720"/>
          <w:tab w:val="left" w:pos="6192" w:leader="dot"/>
        </w:tabs>
        <w:ind w:start="1440" w:end="0"/>
        <w:rPr/>
      </w:pPr>
      <w:r>
        <w:rPr/>
        <w:t>Kiodex Indemnitee</w:t>
        <w:tab/>
        <w:t>11.3</w:t>
      </w:r>
    </w:p>
    <w:p>
      <w:pPr>
        <w:pStyle w:val="VEBodyTextNoSpace"/>
        <w:tabs>
          <w:tab w:val="clear" w:pos="720"/>
          <w:tab w:val="left" w:pos="6192" w:leader="dot"/>
        </w:tabs>
        <w:ind w:start="1440" w:end="0"/>
        <w:rPr/>
      </w:pPr>
      <w:r>
        <w:rPr/>
        <w:t>Lien</w:t>
        <w:tab/>
        <w:t>9.1(b)</w:t>
      </w:r>
    </w:p>
    <w:p>
      <w:pPr>
        <w:pStyle w:val="VEBodyTextNoSpace"/>
        <w:tabs>
          <w:tab w:val="clear" w:pos="720"/>
          <w:tab w:val="left" w:pos="6192" w:leader="dot"/>
        </w:tabs>
        <w:ind w:start="1440" w:end="0"/>
        <w:rPr/>
      </w:pPr>
      <w:r>
        <w:rPr/>
        <w:t>Non-Referring Party</w:t>
        <w:tab/>
        <w:t>12.12(b)</w:t>
      </w:r>
    </w:p>
    <w:p>
      <w:pPr>
        <w:pStyle w:val="VEBodyTextNoSpace"/>
        <w:tabs>
          <w:tab w:val="clear" w:pos="720"/>
          <w:tab w:val="left" w:pos="6192" w:leader="dot"/>
        </w:tabs>
        <w:ind w:start="1440" w:end="0"/>
        <w:rPr/>
      </w:pPr>
      <w:r>
        <w:rPr/>
        <w:t>Permitted Recipients</w:t>
        <w:tab/>
        <w:t>12.2(a)</w:t>
      </w:r>
    </w:p>
    <w:p>
      <w:pPr>
        <w:pStyle w:val="VEBodyTextNoSpace"/>
        <w:tabs>
          <w:tab w:val="clear" w:pos="720"/>
          <w:tab w:val="left" w:pos="6192" w:leader="dot"/>
        </w:tabs>
        <w:ind w:start="1440" w:end="0"/>
        <w:rPr/>
      </w:pPr>
      <w:r>
        <w:rPr/>
        <w:t>Referring Party</w:t>
        <w:tab/>
        <w:t>12.12(b)</w:t>
      </w:r>
    </w:p>
    <w:p>
      <w:pPr>
        <w:pStyle w:val="VEBodyTextNoSpace"/>
        <w:tabs>
          <w:tab w:val="clear" w:pos="720"/>
          <w:tab w:val="left" w:pos="6192" w:leader="dot"/>
        </w:tabs>
        <w:ind w:start="1440" w:end="0"/>
        <w:rPr/>
      </w:pPr>
      <w:r>
        <w:rPr/>
        <w:t>Stockholders’ Agreement</w:t>
        <w:tab/>
        <w:t>9.1(c)</w:t>
      </w:r>
    </w:p>
    <w:p>
      <w:pPr>
        <w:pStyle w:val="VEBodyTextNoSpace"/>
        <w:tabs>
          <w:tab w:val="clear" w:pos="720"/>
          <w:tab w:val="left" w:pos="6192" w:leader="dot"/>
        </w:tabs>
        <w:ind w:start="1440" w:end="0"/>
        <w:rPr/>
      </w:pPr>
      <w:r>
        <w:rPr/>
        <w:t>Term</w:t>
        <w:tab/>
        <w:t>8.1</w:t>
      </w:r>
    </w:p>
    <w:p>
      <w:pPr>
        <w:pStyle w:val="VEBodyTextNoSpace"/>
        <w:tabs>
          <w:tab w:val="clear" w:pos="720"/>
          <w:tab w:val="left" w:pos="6192" w:leader="dot"/>
        </w:tabs>
        <w:ind w:start="1440" w:end="0"/>
        <w:rPr/>
      </w:pPr>
      <w:r>
        <w:rPr/>
        <w:t>Warrant</w:t>
        <w:tab/>
        <w:t>7.1</w:t>
      </w:r>
    </w:p>
    <w:p>
      <w:pPr>
        <w:pStyle w:val="VEBodyTextNoSpace"/>
        <w:tabs>
          <w:tab w:val="clear" w:pos="720"/>
          <w:tab w:val="left" w:pos="6192" w:leader="dot"/>
        </w:tabs>
        <w:ind w:start="1440" w:end="0"/>
        <w:rPr/>
      </w:pPr>
      <w:r>
        <w:rPr/>
        <w:t>Warrant Shares</w:t>
        <w:tab/>
        <w:t>7.4</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2" w:name="__RefHeading___Toc507407861"/>
      <w:bookmarkEnd w:id="2"/>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t>CO-MARKETING ARRANGEMENTS</w:t>
      </w:r>
    </w:p>
    <w:p>
      <w:pPr>
        <w:pStyle w:val="VENumbered2"/>
        <w:numPr>
          <w:ilvl w:val="1"/>
          <w:numId w:val="7"/>
        </w:numPr>
        <w:ind w:hanging="0" w:start="0"/>
        <w:rPr>
          <w:vanish/>
          <w:color w:val="0000FF"/>
        </w:rPr>
      </w:pPr>
      <w:bookmarkStart w:id="3" w:name="__RefHeading___Toc507407863"/>
      <w:bookmarkEnd w:id="3"/>
      <w:r>
        <w:rPr/>
        <w:t>Summary of Co-Marketing Arrangements</w:t>
      </w:r>
    </w:p>
    <w:p>
      <w:pPr>
        <w:pStyle w:val="VEBodyText2"/>
        <w:rPr/>
      </w:pPr>
      <w:r>
        <w:rPr/>
        <w:t>.  Subject to the terms and conditions of this Agreement, after the Kiodex Lite Tool Launch Date:</w:t>
      </w:r>
    </w:p>
    <w:p>
      <w:pPr>
        <w:pStyle w:val="VENumbered3"/>
        <w:numPr>
          <w:ilvl w:val="2"/>
          <w:numId w:val="7"/>
        </w:numPr>
        <w:ind w:hanging="0" w:start="0"/>
        <w:rPr/>
      </w:pPr>
      <w:r>
        <w:rPr/>
        <w:t xml:space="preserve">Kiodex shall offer the Kiodex Lite Tool to Enron Customers through the Enron Web Site at no cost to the Enron Customers; and </w:t>
      </w:r>
    </w:p>
    <w:p>
      <w:pPr>
        <w:pStyle w:val="VENumbered3"/>
        <w:numPr>
          <w:ilvl w:val="2"/>
          <w:numId w:val="7"/>
        </w:numPr>
        <w:ind w:hanging="0" w:start="0"/>
        <w:rPr/>
      </w:pPr>
      <w:r>
        <w:rPr/>
        <w:t>Enron will provide Kiodex with the Encrypted Enron Transaction Data, Customer-Specific Enron Transaction Data, and Enron Market Data through the Enron Data Feed and will establish certain Kiodex Links on the Enron Web Site.</w:t>
      </w:r>
    </w:p>
    <w:p>
      <w:pPr>
        <w:pStyle w:val="VENumbered2"/>
        <w:numPr>
          <w:ilvl w:val="1"/>
          <w:numId w:val="7"/>
        </w:numPr>
        <w:ind w:hanging="0" w:start="0"/>
        <w:rPr>
          <w:vanish/>
          <w:color w:val="0000FF"/>
        </w:rPr>
      </w:pPr>
      <w:bookmarkStart w:id="4" w:name="__RefHeading___Toc507407864"/>
      <w:bookmarkEnd w:id="4"/>
      <w:r>
        <w:rPr/>
        <w:t>Other Co-Marketing Obligations</w:t>
      </w:r>
    </w:p>
    <w:p>
      <w:pPr>
        <w:pStyle w:val="VEBodyText2"/>
        <w:rPr/>
      </w:pPr>
      <w:r>
        <w:rPr/>
        <w:t xml:space="preserve">.  In addition to its other obligations hereunder, each party agrees to fulfill those additional co-marketing obligations as set forth on </w:t>
      </w:r>
      <w:r>
        <w:rPr>
          <w:u w:val="single"/>
        </w:rPr>
        <w:t>Exhibit C</w:t>
      </w:r>
      <w:r>
        <w:rPr/>
        <w:t xml:space="preserve"> attached hereto.</w:t>
      </w:r>
    </w:p>
    <w:p>
      <w:pPr>
        <w:pStyle w:val="VENumbered2"/>
        <w:keepNext w:val="true"/>
        <w:numPr>
          <w:ilvl w:val="1"/>
          <w:numId w:val="7"/>
        </w:numPr>
        <w:ind w:hanging="0" w:start="0"/>
        <w:rPr/>
      </w:pPr>
      <w:bookmarkStart w:id="5" w:name="__RefHeading___Toc507407865"/>
      <w:r>
        <w:rPr/>
        <w:t>Promotion and Publicity.</w:t>
      </w:r>
      <w:bookmarkEnd w:id="5"/>
      <w:r>
        <w:rPr/>
        <w:t xml:space="preserve"> </w:t>
      </w:r>
    </w:p>
    <w:p>
      <w:pPr>
        <w:pStyle w:val="VENumbered3"/>
        <w:keepNext w:val="true"/>
        <w:numPr>
          <w:ilvl w:val="2"/>
          <w:numId w:val="7"/>
        </w:numPr>
        <w:ind w:hanging="0" w:start="0"/>
        <w:rPr/>
      </w:pPr>
      <w:r>
        <w:rPr/>
        <w:t xml:space="preserve">Enron and Kiodex shall advise and confer with each other prior to the issuance of any marketing or promotional materials, press releases, or public announcements or statements concerning this Agreement or the transactions contemplated herein.  Kiodex shall not make any public disclosure (including but not limited to marketing or promotional materials or press releases) with respect to this Agreement or the transactions contemplated herein, unless Enron agrees on the text and timing of such public disclosure </w:t>
      </w:r>
    </w:p>
    <w:p>
      <w:pPr>
        <w:pStyle w:val="VENumbered3"/>
        <w:numPr>
          <w:ilvl w:val="2"/>
          <w:numId w:val="7"/>
        </w:numPr>
        <w:ind w:hanging="0" w:start="0"/>
        <w:rPr/>
      </w:pPr>
      <w:r>
        <w:rPr/>
        <w:t>Neither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VENumbered2"/>
        <w:numPr>
          <w:ilvl w:val="1"/>
          <w:numId w:val="7"/>
        </w:numPr>
        <w:ind w:hanging="0" w:start="0"/>
        <w:rPr/>
      </w:pPr>
      <w:bookmarkStart w:id="6" w:name="__RefHeading___Toc507407866"/>
      <w:bookmarkEnd w:id="6"/>
      <w:r>
        <w:rPr/>
        <w:t>Non-Promotion of Competing Products.</w:t>
      </w:r>
    </w:p>
    <w:p>
      <w:pPr>
        <w:pStyle w:val="VENumbered3"/>
        <w:numPr>
          <w:ilvl w:val="2"/>
          <w:numId w:val="7"/>
        </w:numPr>
        <w:ind w:hanging="0" w:start="0"/>
        <w:rPr/>
      </w:pPr>
      <w:r>
        <w:rPr/>
        <w:t xml:space="preserve">Commencing as of the Effective Date and until the earlier of (a) June 1, 2001, or (b) the date on which this Agreement is terminated in accordance with </w:t>
      </w:r>
      <w:r>
        <w:rPr>
          <w:u w:val="single"/>
        </w:rPr>
        <w:t>Article VIII</w:t>
      </w:r>
      <w:r>
        <w:rPr/>
        <w:t xml:space="preserve"> (the “</w:t>
      </w:r>
      <w:r>
        <w:rPr>
          <w:u w:val="single"/>
        </w:rPr>
        <w:t>Exclusivity Period</w:t>
      </w:r>
      <w:r>
        <w:rPr/>
        <w:t xml:space="preserve">”), Enron will not market, promote, or enter into any agreement pursuant to which Enron would offer, or would permit a third party to offer, through the Enron Web Site any Competing Product for use by an Enron Customer.  </w:t>
      </w:r>
    </w:p>
    <w:p>
      <w:pPr>
        <w:pStyle w:val="VENumbered3"/>
        <w:numPr>
          <w:ilvl w:val="2"/>
          <w:numId w:val="7"/>
        </w:numPr>
        <w:ind w:hanging="0" w:start="0"/>
        <w:rPr/>
      </w:pPr>
      <w:r>
        <w:rPr/>
        <w:t xml:space="preserve">After the expiration of the Exclusivity Period, Enron will be free to display, use, promote or market any Competing Product through the Enron Web Site or otherwise; </w:t>
      </w:r>
      <w:r>
        <w:rPr>
          <w:u w:val="single"/>
        </w:rPr>
        <w:t>provided</w:t>
      </w:r>
      <w:r>
        <w:rPr/>
        <w:t xml:space="preserve">, </w:t>
      </w:r>
      <w:r>
        <w:rPr>
          <w:u w:val="single"/>
        </w:rPr>
        <w:t>however</w:t>
      </w:r>
      <w:r>
        <w:rPr/>
        <w:t>, that from the end of the Exclusivity Period to the end of the Term of this Agreement, if Enron displays any Competing Product on the Enron Web Site, then Enron will ensure that it shall display the Kiodex Lite Tool and links to the Kiodex Web Site in a manner reasonably comparable to the placement of such Competing Products, with such comparable placement to be determined in Enron’s reasonable discretion.</w:t>
      </w:r>
    </w:p>
    <w:p>
      <w:pPr>
        <w:pStyle w:val="VENumbered2"/>
        <w:numPr>
          <w:ilvl w:val="1"/>
          <w:numId w:val="7"/>
        </w:numPr>
        <w:ind w:hanging="0" w:start="0"/>
        <w:rPr>
          <w:vanish/>
          <w:color w:val="0000FF"/>
        </w:rPr>
      </w:pPr>
      <w:bookmarkStart w:id="7" w:name="__RefHeading___Toc507407867"/>
      <w:bookmarkEnd w:id="7"/>
      <w:r>
        <w:rPr/>
        <w:t>Enron Competitors</w:t>
      </w:r>
    </w:p>
    <w:p>
      <w:pPr>
        <w:pStyle w:val="VEBodyText2"/>
        <w:rPr/>
      </w:pPr>
      <w:r>
        <w:rPr/>
        <w:t>.  During the Term Kiodex will be free to display, use, promote or market any Enron Competitor through the Kiodex Web Site or otherwise; provided, however, if Kiodex promotes any Enron Competitor or any of such competitor’s products or services on the Kiodex Web Site or otherwise, then Kiodex will provide Enron with comparable placements and/or promotions for Enron and its products and services at no cost to Enron, with such comparable placement to be determined in Kiodex’s reasonable discretion.</w:t>
      </w:r>
    </w:p>
    <w:p>
      <w:pPr>
        <w:pStyle w:val="VENumbered1"/>
        <w:numPr>
          <w:ilvl w:val="0"/>
          <w:numId w:val="7"/>
        </w:numPr>
        <w:ind w:hanging="0" w:start="0"/>
        <w:rPr/>
      </w:pPr>
      <w:r>
        <w:rPr/>
        <w:t>DEVELOPMENT AND ACCEPTANCE OF KIODEX LITE TOOL AND ENRON DATA FEED</w:t>
      </w:r>
    </w:p>
    <w:p>
      <w:pPr>
        <w:pStyle w:val="VENumbered2"/>
        <w:numPr>
          <w:ilvl w:val="1"/>
          <w:numId w:val="7"/>
        </w:numPr>
        <w:ind w:hanging="0" w:start="0"/>
        <w:rPr>
          <w:vanish/>
          <w:color w:val="0000FF"/>
        </w:rPr>
      </w:pPr>
      <w:bookmarkStart w:id="8" w:name="__RefHeading___Toc507407869"/>
      <w:bookmarkEnd w:id="8"/>
      <w:r>
        <w:rPr/>
        <w:t>Development, Testing and Acceptance of the Kiodex Lite Tool</w:t>
      </w:r>
    </w:p>
    <w:p>
      <w:pPr>
        <w:pStyle w:val="VEBodyText2"/>
        <w:rPr/>
      </w:pPr>
      <w:r>
        <w:rPr/>
        <w:t xml:space="preserve">.  Prior to June 1, 2001, Kiodex will develop the Kiodex Lite Tool with the functionality, features and performance standards that are described in </w:t>
      </w:r>
      <w:r>
        <w:rPr>
          <w:u w:val="single"/>
        </w:rPr>
        <w:t>Exhibit B</w:t>
      </w:r>
      <w:r>
        <w:rPr/>
        <w:t xml:space="preserve">.  Kiodex will provide the Kiodex Lite Tool and samples of the Kiodex Lite Reports to Enron for testing and acceptance at least </w:t>
      </w:r>
      <w:r>
        <w:rPr>
          <w:b/>
          <w:bCs/>
        </w:rPr>
        <w:t>[thirty (30)]</w:t>
      </w:r>
      <w:r>
        <w:rPr/>
        <w:t xml:space="preserve"> days prior the Kiodex Lite Tool Launch Date.  Enron will not be obligated to accept or activate the Kiodex Lite Tool on the Enron Web Site, complete or activate the Enron Data Feed, or accept any Kiodex Lite Reports if it is not satisfied that the Kiodex Lite Tool and the Kiodex Lite Reports meet the functionality, features and performance standards set forth in </w:t>
      </w:r>
      <w:r>
        <w:rPr>
          <w:u w:val="single"/>
        </w:rPr>
        <w:t>Exhibit B</w:t>
      </w:r>
      <w:r>
        <w:rPr/>
        <w:t>, or if it is not satisfied that the Kiodex Lite Tool and the Kiodex Lite Reports otherwise meet all of the other requirements of this Agreement, including that the “look and feel” of the Kiodex Lite Tool and the Kiodex Lite Reports are satisfactory to Enron and are compatible (in Enron’s judgment) with the “look and feel” of the Enron Web Site.</w:t>
      </w:r>
    </w:p>
    <w:p>
      <w:pPr>
        <w:pStyle w:val="VENumbered2"/>
        <w:numPr>
          <w:ilvl w:val="1"/>
          <w:numId w:val="7"/>
        </w:numPr>
        <w:ind w:hanging="0" w:start="0"/>
        <w:rPr/>
      </w:pPr>
      <w:bookmarkStart w:id="9" w:name="__RefHeading___Toc507407870"/>
      <w:bookmarkEnd w:id="9"/>
      <w:r>
        <w:rPr/>
        <w:t>Development, Testing and Acceptance of the Enron Data Feed.</w:t>
      </w:r>
    </w:p>
    <w:p>
      <w:pPr>
        <w:pStyle w:val="VENumbered3"/>
        <w:numPr>
          <w:ilvl w:val="2"/>
          <w:numId w:val="7"/>
        </w:numPr>
        <w:ind w:hanging="0" w:start="0"/>
        <w:rPr/>
      </w:pPr>
      <w:r>
        <w:rPr/>
        <w:t xml:space="preserve">Prior to June 1, 2001, but subject to Enron’s acceptance of the Kiodex Lite Tool pursuant to </w:t>
      </w:r>
      <w:r>
        <w:rPr>
          <w:u w:val="single"/>
        </w:rPr>
        <w:t>Section 3.1</w:t>
      </w:r>
      <w:r>
        <w:rPr/>
        <w:t xml:space="preserve">, Enron will develop and test the Enron Data Feed that will be used to deliver the Encrypted Enron Transaction Data, Customer-Specific Enron Transaction Data, and Enron Market Data to Kiodex.  The Enron Data Feed shall be designed, developed, tested and operated so as to ensure, to Enron’s satisfaction, adequate security for the Enron Web Site and the Enron Data transmitted to Kiodex through the Enron Data Feed.   In connection with the development of the Enron Data Feed, Kiodex shall provide Enron with access to Kiodex personnel and information as Enron may reasonably request to assist Enron in the development of the Enron Data Feed. </w:t>
      </w:r>
    </w:p>
    <w:p>
      <w:pPr>
        <w:pStyle w:val="VENumbered3"/>
        <w:numPr>
          <w:ilvl w:val="2"/>
          <w:numId w:val="7"/>
        </w:numPr>
        <w:ind w:hanging="0" w:start="0"/>
        <w:rPr/>
      </w:pPr>
      <w:r>
        <w:rPr/>
        <w:t xml:space="preserve">Enron shall initially deliver the Encrypted Enron Transaction Data, Customer-Specific Enron Transaction Data, and Enron Market Data to Kiodex through the Enron Data Feed in electronic form in a file transfer protocol using Extensible Markup Language (XML) format selected by Enron.  Kiodex will be responsible for ensuring that Enron Data transmitted to Kiodex through the Enron Data Feed in standard formats used by Enron from time to time can be accepted by the Kiodex Lite Tool and the Kiodex Application.  </w:t>
      </w:r>
    </w:p>
    <w:p>
      <w:pPr>
        <w:pStyle w:val="VENumbered3"/>
        <w:numPr>
          <w:ilvl w:val="2"/>
          <w:numId w:val="7"/>
        </w:numPr>
        <w:ind w:hanging="0" w:start="0"/>
        <w:rPr/>
      </w:pPr>
      <w:r>
        <w:rPr/>
        <w:t xml:space="preserve">Enron may modify the Enron Data Feed at any time, and will endeavor to provide Kiodex with at least </w:t>
      </w:r>
      <w:r>
        <w:rPr>
          <w:b/>
          <w:bCs/>
        </w:rPr>
        <w:t>[ten (10)]</w:t>
      </w:r>
      <w:r>
        <w:rPr/>
        <w:t xml:space="preserve"> days advance notice of any such changes.  Enron will not be responsible for making any changes to the Enron Web Site or Enron Data Feed to accommodate any modifications, upgrades or improvements of the Kiodex Lite Tool or the Kiodex Application.</w:t>
      </w:r>
    </w:p>
    <w:p>
      <w:pPr>
        <w:pStyle w:val="VENumbered2"/>
        <w:numPr>
          <w:ilvl w:val="1"/>
          <w:numId w:val="7"/>
        </w:numPr>
        <w:ind w:hanging="0" w:start="0"/>
        <w:rPr>
          <w:vanish/>
          <w:color w:val="0000FF"/>
        </w:rPr>
      </w:pPr>
      <w:bookmarkStart w:id="10" w:name="__RefHeading___Toc507407871"/>
      <w:bookmarkEnd w:id="10"/>
      <w:r>
        <w:rPr/>
        <w:t>Connectivity to/from the Enron Web Site</w:t>
      </w:r>
    </w:p>
    <w:p>
      <w:pPr>
        <w:pStyle w:val="VEBodyText2"/>
        <w:rPr/>
      </w:pPr>
      <w:r>
        <w:rPr/>
        <w:t xml:space="preserve">.  Prior to June 1, 2001, Kiodex will procure, have installed and test at its expense all necessary connectivity from the Enron Data Feed and the Kiodex Links to the Kiodex Web Site, to ensure the secure transmission of Encrypted Enron Transaction Data, Customer-Specific Enron Transaction Data, and Enron Market Data to the Kiodex Web Site and the secure transmission of the Kiodex Lite Reports to the Enron Web Site.  The connections shall provide sufficient bandwidth, in Enron’s judgment, to permit Kiodex to perform its obligations under this Agreement and to provide the responsiveness that is consistent with the responsiveness of other features of the Enron Web Site, and will include, at a minimum, two fully redundant T1 lines [____ kilobits per second] to provide primary and back up connectivity.  Each T1 line will be provided by a different supplier to ensure full redundancy and backup.  These connections shall be made available to Enron for testing at least </w:t>
      </w:r>
      <w:r>
        <w:rPr>
          <w:rStyle w:val="VEBold"/>
        </w:rPr>
        <w:t>[ten (10)</w:t>
      </w:r>
      <w:r>
        <w:rPr/>
        <w:t>] days prior to the Kiodex Lite Tool Launch Date for testing and acceptance by Enron.</w:t>
      </w:r>
    </w:p>
    <w:p>
      <w:pPr>
        <w:pStyle w:val="VENumbered2"/>
        <w:numPr>
          <w:ilvl w:val="1"/>
          <w:numId w:val="7"/>
        </w:numPr>
        <w:ind w:hanging="0" w:start="0"/>
        <w:rPr>
          <w:vanish/>
          <w:color w:val="0000FF"/>
        </w:rPr>
      </w:pPr>
      <w:bookmarkStart w:id="11" w:name="__RefHeading___Toc507407872"/>
      <w:bookmarkEnd w:id="11"/>
      <w:r>
        <w:rPr/>
        <w:t>Placement of the Kiodex Lite Tool on the Enron Web Site</w:t>
      </w:r>
    </w:p>
    <w:p>
      <w:pPr>
        <w:pStyle w:val="VEBodyText2"/>
        <w:rPr/>
      </w:pPr>
      <w:r>
        <w:rPr/>
        <w:t xml:space="preserve">.  At least </w:t>
      </w:r>
      <w:r>
        <w:rPr>
          <w:b/>
          <w:bCs/>
        </w:rPr>
        <w:t>[thirty (30)]</w:t>
      </w:r>
      <w:r>
        <w:rPr/>
        <w:t xml:space="preserve"> days prior to the Kiodex Lite Tool Launch Date, Enron will advise Kiodex regarding the placement of the Kiodex Lite Tool and any Kiodex Links on the Enron Web Site.  Such placements will not be activated until the Kiodex Lite Tool Launch Date.</w:t>
      </w:r>
    </w:p>
    <w:p>
      <w:pPr>
        <w:pStyle w:val="VENumbered2"/>
        <w:keepNext w:val="true"/>
        <w:numPr>
          <w:ilvl w:val="1"/>
          <w:numId w:val="7"/>
        </w:numPr>
        <w:ind w:hanging="0" w:start="0"/>
        <w:rPr/>
      </w:pPr>
      <w:bookmarkStart w:id="12" w:name="__RefHeading___Toc507407873"/>
      <w:bookmarkEnd w:id="12"/>
      <w:r>
        <w:rPr/>
        <w:t>Enron’s Provision and Kiodex’s Use of Enron Market Data.</w:t>
      </w:r>
    </w:p>
    <w:p>
      <w:pPr>
        <w:pStyle w:val="VENumbered3"/>
        <w:numPr>
          <w:ilvl w:val="2"/>
          <w:numId w:val="7"/>
        </w:numPr>
        <w:ind w:hanging="0" w:start="0"/>
        <w:rPr>
          <w:rStyle w:val="VEUnderline"/>
          <w:u w:val="none"/>
        </w:rPr>
      </w:pPr>
      <w:r>
        <w:rPr/>
        <w:t xml:space="preserve">From and after the Kiodex Lite Tool Launch Date, subject to the terms of this Agreement, Enron shall provide </w:t>
      </w:r>
      <w:r>
        <w:rPr>
          <w:rStyle w:val="VEUnderline"/>
          <w:u w:val="none"/>
        </w:rPr>
        <w:t>Enron Market Data for all Specified Products to Kiodex through the Enron Data Feed.  Enron Market Data shall be transmitted once per day for each Specified Product.  Enron’s provision of Enron Market Data hereunder is expressly subject to the limitations and restrictions set forth in this Section.</w:t>
      </w:r>
    </w:p>
    <w:p>
      <w:pPr>
        <w:pStyle w:val="VENumbered3"/>
        <w:numPr>
          <w:ilvl w:val="2"/>
          <w:numId w:val="7"/>
        </w:numPr>
        <w:ind w:hanging="0" w:start="0"/>
        <w:rPr/>
      </w:pPr>
      <w:r>
        <w:rPr/>
        <w:t xml:space="preserve">Enron is providing the Enron Market Data “as is” and Enron specifically disclaims any representation or warranty that Enron Market Data reflects actual market conditions.  Kiodex understands and acknowledges that the Enron Market Data is based upon trading activity on the Enron Web Site and does not necessarily represent and is not necessarily indicative of market prices for the Specified Products.  Enron is not liable for any mistakes in such data or for any uses of that data by Kiodex.  </w:t>
      </w:r>
    </w:p>
    <w:p>
      <w:pPr>
        <w:pStyle w:val="VENumbered3"/>
        <w:numPr>
          <w:ilvl w:val="2"/>
          <w:numId w:val="7"/>
        </w:numPr>
        <w:ind w:hanging="0" w:start="0"/>
        <w:rPr/>
      </w:pPr>
      <w:r>
        <w:rPr/>
        <w:t>Enron hereby grants to Kiodex a fully paid-up, royalty-free, non-exclusive, worldwide, non-assignable right and license during the Term to access and use the Enron Market Data provided through the Enron Data Feed for the sole purpose of performing calculations in conjunction with the Kiodex Application and the Kiodex Lite Tool for the benefit of the relevant Enron Customers, and solely in that limited circumstance to use, adapt and display the Enron Market Data in the Kiodex Reports, and to transmit and display the Kiodex Reports to such Enron Customers.  Enron reserves all of its rights in the Enron Market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redistribute, sell, transfer, publish or broadcast any Enron Market Data to any person (including Enron Customers or Kiodex Customers), except where such Enron Market Data is included in Derived Data included in a Kiodex Report.  Specifically, and without limiting the foregoing, Kiodex shall prevent Enron Customers from copying or retrieving any of the Enron Market Data or any Derived Data relating thereto in electronic form; such data shall be available to Enron Customers solely in a “view only” format.  </w:t>
      </w:r>
    </w:p>
    <w:p>
      <w:pPr>
        <w:pStyle w:val="VENumbered3"/>
        <w:numPr>
          <w:ilvl w:val="2"/>
          <w:numId w:val="7"/>
        </w:numPr>
        <w:ind w:hanging="0" w:start="0"/>
        <w:rPr/>
      </w:pPr>
      <w:r>
        <w:rPr/>
        <w:t xml:space="preserve">Kiodex agrees that it will not permit any person to directly or indirectly access, copy or retrieve any of the Enron Market Data or any Derived Data from the Enron Market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FREE USE OF KIODEX LITE TOOL</w:t>
      </w:r>
    </w:p>
    <w:p>
      <w:pPr>
        <w:pStyle w:val="VENumbered2"/>
        <w:keepNext w:val="true"/>
        <w:numPr>
          <w:ilvl w:val="1"/>
          <w:numId w:val="7"/>
        </w:numPr>
        <w:ind w:hanging="0" w:start="0"/>
        <w:rPr>
          <w:vanish/>
          <w:color w:val="0000FF"/>
        </w:rPr>
      </w:pPr>
      <w:bookmarkStart w:id="13" w:name="__RefHeading___Toc507407875"/>
      <w:bookmarkEnd w:id="13"/>
      <w:r>
        <w:rPr/>
        <w:t>Availability of Kiodex Lite Tool to Enron Customers</w:t>
      </w:r>
    </w:p>
    <w:p>
      <w:pPr>
        <w:pStyle w:val="VEBodyText2"/>
        <w:rPr/>
      </w:pPr>
      <w:r>
        <w:rPr/>
        <w:t>.  Subject to the terms and conditions of this Agreement, from and after the Kiodex Lite Tool Launch Date:</w:t>
      </w:r>
    </w:p>
    <w:p>
      <w:pPr>
        <w:pStyle w:val="VENumbered3"/>
        <w:numPr>
          <w:ilvl w:val="2"/>
          <w:numId w:val="7"/>
        </w:numPr>
        <w:ind w:hanging="0" w:start="0"/>
        <w:rPr/>
      </w:pPr>
      <w:r>
        <w:rPr/>
        <w:t xml:space="preserve">Subject to Enron’s right to change the Enron Web Site under </w:t>
      </w:r>
      <w:r>
        <w:rPr>
          <w:rStyle w:val="VEUnderline"/>
        </w:rPr>
        <w:t>Section 6.2</w:t>
      </w:r>
      <w:r>
        <w:rPr>
          <w:rStyle w:val="VEUnderline"/>
          <w:u w:val="none"/>
        </w:rPr>
        <w:t>,</w:t>
      </w:r>
      <w:r>
        <w:rPr/>
        <w:t xml:space="preserve"> Enron will make the Kiodex Lite Tool available to Enron Customers through the “Positions/Risk Analysis” tab on the main Enron Web Site trading screen; and any links from the Enron Web Site to the Kiodex Lite Tool will be substantially similar in appearance to links to other functions on the Enron Website, such as “Positions” and “Transaction History.”</w:t>
      </w:r>
    </w:p>
    <w:p>
      <w:pPr>
        <w:pStyle w:val="VENumbered3"/>
        <w:numPr>
          <w:ilvl w:val="2"/>
          <w:numId w:val="7"/>
        </w:numPr>
        <w:ind w:hanging="0" w:start="0"/>
        <w:rPr/>
      </w:pPr>
      <w:r>
        <w:rPr/>
        <w:t>Enron will provide descriptions of the Kiodex Lite Tool and Kiodex Links on the Enron Web Site as determined appropriate by Enron in its reasonable discretion.</w:t>
      </w:r>
    </w:p>
    <w:p>
      <w:pPr>
        <w:pStyle w:val="VENumbered3"/>
        <w:numPr>
          <w:ilvl w:val="2"/>
          <w:numId w:val="7"/>
        </w:numPr>
        <w:ind w:hanging="0" w:start="0"/>
        <w:rPr/>
      </w:pPr>
      <w:r>
        <w:rPr/>
        <w:t xml:space="preserve">Enron Customers may access and use the Kiodex Lite Tool and receive Kiodex Lite Reports only upon an Enron Customer’s online acceptance of the “Kiodex Lite Terms and Conditions of Use” in the form attached as </w:t>
      </w:r>
      <w:r>
        <w:rPr>
          <w:u w:val="single"/>
        </w:rPr>
        <w:t>Exhibit G</w:t>
      </w:r>
      <w:r>
        <w:rPr/>
        <w:t xml:space="preserve"> hereto pursuant to which the Enron Customer will instruct Enron to release to Kiodex the Encrypted Enron Transaction Data related to that Enron Customer.  The Kiodex Lite Terms and Conditions of Use may only be accepted by a master user, and sub-users may access the Kiodex Lite Tool and receive Kiodex Lite Reports only if authorized to do so by their respective master user. </w:t>
      </w:r>
    </w:p>
    <w:p>
      <w:pPr>
        <w:pStyle w:val="VENumbered3"/>
        <w:numPr>
          <w:ilvl w:val="2"/>
          <w:numId w:val="7"/>
        </w:numPr>
        <w:ind w:hanging="0" w:start="0"/>
        <w:rPr/>
      </w:pPr>
      <w:r>
        <w:rPr/>
        <w:t>Enron has the right to limit the number of requests for free Kiodex Lite Reports that an Enron Customer may make, as determined in its sole discretion.</w:t>
      </w:r>
    </w:p>
    <w:p>
      <w:pPr>
        <w:pStyle w:val="VENumbered2"/>
        <w:numPr>
          <w:ilvl w:val="1"/>
          <w:numId w:val="7"/>
        </w:numPr>
        <w:ind w:hanging="0" w:start="0"/>
        <w:rPr/>
      </w:pPr>
      <w:bookmarkStart w:id="14" w:name="__RefHeading___Toc507407876"/>
      <w:bookmarkEnd w:id="14"/>
      <w:r>
        <w:rPr/>
        <w:t>Provision and Use of Encrypted Enron Transaction Data.</w:t>
      </w:r>
    </w:p>
    <w:p>
      <w:pPr>
        <w:pStyle w:val="VENumbered3"/>
        <w:numPr>
          <w:ilvl w:val="2"/>
          <w:numId w:val="7"/>
        </w:numPr>
        <w:ind w:hanging="0" w:start="0"/>
        <w:rPr/>
      </w:pPr>
      <w:r>
        <w:rPr/>
        <w:t>Upon confirmation by Enron that an Enron Customer has accepted the “Kiodex Lite Terms and Conditions of Use”, Enron shall promptly provide Kiodex through the Enron Data Feed any Encrypted Enron Transaction Data related to the master user who authorized such release (and his sub-users if requested by such master user) with respect to transactions completed from that day forward.  Enron’s provision of Encrypted Enron Transaction Data hereunder is expressly subject to the limitations and restrictions set forth in this Section.</w:t>
      </w:r>
    </w:p>
    <w:p>
      <w:pPr>
        <w:pStyle w:val="VENumbered3"/>
        <w:numPr>
          <w:ilvl w:val="2"/>
          <w:numId w:val="7"/>
        </w:numPr>
        <w:ind w:hanging="0" w:start="0"/>
        <w:rPr/>
      </w:pPr>
      <w:r>
        <w:rPr/>
        <w:t xml:space="preserve">Upon receipt of a request to generate a Kiodex Lite Report from Enron on behalf of an Enron Customer, Kiodex will process the Encrypted Enron Transaction Data and return the relevant Kiodex Lite Report to Enron within </w:t>
      </w:r>
      <w:r>
        <w:rPr>
          <w:b/>
          <w:bCs/>
        </w:rPr>
        <w:t xml:space="preserve">[ten (10)] </w:t>
      </w:r>
      <w:r>
        <w:rPr/>
        <w:t>seconds of such request in HMTL format for display by Enron to the relevant Enron Customer.</w:t>
      </w:r>
    </w:p>
    <w:p>
      <w:pPr>
        <w:pStyle w:val="VENumbered3"/>
        <w:numPr>
          <w:ilvl w:val="2"/>
          <w:numId w:val="7"/>
        </w:numPr>
        <w:ind w:hanging="0" w:start="0"/>
        <w:rPr/>
      </w:pPr>
      <w:r>
        <w:rPr/>
        <w:t>Enron hereby grants to Kiodex a fully paid-up, royalty-free, non-exclusive, worldwide, non-assignable right and license during the Term to use and access the Encrypted Enron Transaction Data provided through the Enron Data Feed solely in conjunction with its use of the Kiodex Lite Tool for the benefit of the relevant Enron Customer, and solely in that limited circumstance to use, adapt, and display the Encrypted Enron Transaction Data in the Kiodex Lite Reports that are transmitted in HMTL format for display to such Enron Customer through the Enron Web Site.  Enron reserves all of its rights in the Encrypted Enron Transaction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aggregate, redistribute, sell, transfer, publish or broadcast any Encrypted Enron Transaction Data to any person or for any purpose including any Enron Customer, except as expressly and specifically permitted in this Section.  Specifically, and without limiting the foregoing, Kiodex shall prevent Enron Customers from copying or retrieving any of the Encrypted Enron Transaction Data or any Derived Data relating thereto in electronic form; such data shall be available to Enron Customers solely in a “view only” format.  </w:t>
      </w:r>
    </w:p>
    <w:p>
      <w:pPr>
        <w:pStyle w:val="VENumbered3"/>
        <w:numPr>
          <w:ilvl w:val="2"/>
          <w:numId w:val="7"/>
        </w:numPr>
        <w:ind w:hanging="0" w:start="0"/>
        <w:rPr/>
      </w:pPr>
      <w:r>
        <w:rPr/>
        <w:t xml:space="preserve">Kiodex agrees that it will not permit any person to directly or indirectly access any of the Encrypted Enron Transaction Data or any Derived Data from the Encrypted Enron Transaction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3"/>
        <w:numPr>
          <w:ilvl w:val="2"/>
          <w:numId w:val="7"/>
        </w:numPr>
        <w:ind w:hanging="0" w:start="0"/>
        <w:rPr/>
      </w:pPr>
      <w:r>
        <w:rPr/>
        <w:t>Kiodex shall purge all Encrypted Enron Transaction Data (including any Derived Data from such Encrypted Enron Transaction Data and any reports containing any such content or Derived Data) from its systems within two days after its receipt of such data.</w:t>
      </w:r>
    </w:p>
    <w:p>
      <w:pPr>
        <w:pStyle w:val="VENumbered2"/>
        <w:numPr>
          <w:ilvl w:val="1"/>
          <w:numId w:val="7"/>
        </w:numPr>
        <w:ind w:hanging="0" w:start="0"/>
        <w:rPr>
          <w:vanish/>
          <w:color w:val="0000FF"/>
        </w:rPr>
      </w:pPr>
      <w:bookmarkStart w:id="15" w:name="__RefHeading___Toc507407877"/>
      <w:bookmarkEnd w:id="15"/>
      <w:r>
        <w:rPr/>
        <w:t>Kiodex License Grant</w:t>
      </w:r>
    </w:p>
    <w:p>
      <w:pPr>
        <w:pStyle w:val="VEBodyText2"/>
        <w:rPr>
          <w:rStyle w:val="VEBold"/>
        </w:rPr>
      </w:pP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page on the Kiodex Web Site.  For the avoidance of doubt, the Kiodex Lite Tool shall reside on Kiodex Systems at all times, and Enron shall not have any rights to receive or use the Kiodex Lite Tool directly.  </w:t>
      </w:r>
    </w:p>
    <w:p>
      <w:pPr>
        <w:pStyle w:val="VENumbered1"/>
        <w:numPr>
          <w:ilvl w:val="0"/>
          <w:numId w:val="7"/>
        </w:numPr>
        <w:ind w:hanging="0" w:start="0"/>
        <w:rPr/>
      </w:pPr>
      <w:r>
        <w:rPr/>
        <w:t>THE KIODEX APPLICATION</w:t>
      </w:r>
    </w:p>
    <w:p>
      <w:pPr>
        <w:pStyle w:val="VENumbered2"/>
        <w:numPr>
          <w:ilvl w:val="1"/>
          <w:numId w:val="7"/>
        </w:numPr>
        <w:ind w:hanging="0" w:start="0"/>
        <w:rPr/>
      </w:pPr>
      <w:bookmarkStart w:id="16" w:name="__RefHeading___Toc507407879"/>
      <w:bookmarkEnd w:id="16"/>
      <w:r>
        <w:rPr/>
        <w:t>Availability of Kiodex Application to Kiodex Customers.</w:t>
      </w:r>
    </w:p>
    <w:p>
      <w:pPr>
        <w:pStyle w:val="VENumbered3"/>
        <w:numPr>
          <w:ilvl w:val="2"/>
          <w:numId w:val="7"/>
        </w:numPr>
        <w:ind w:hanging="0" w:start="0"/>
        <w:rPr/>
      </w:pPr>
      <w:r>
        <w:rPr/>
        <w:t xml:space="preserve">Kiodex will make the Kiodex Application available to Kiodex Customers through the Kiodex Web Site.  Kiodex shall enter into a Kiodex Customer Agreement with each third party that intends to access Enron Transaction Data through the Kiodex Web Site, which will include a form of Consent and Release in the form attached as </w:t>
      </w:r>
      <w:r>
        <w:rPr>
          <w:rStyle w:val="VEUnderline"/>
        </w:rPr>
        <w:t>Exhibit F</w:t>
      </w:r>
      <w:r>
        <w:rPr/>
        <w:t xml:space="preserve"> hereto (“Consent and Release”), to be duly executed by an authorized representative of each Kiodex Customer and delivered to Enron as a condition precedent to Enron’s transmission of Customer-Specific Transaction Data to Kiodex related to such customer.  Enron may conduct such additional due diligence as it deems necessary to confirm the authority of the representative of the Kiodex Customer executing the Consent and Release prior to transmitting any such data to Kiodex.</w:t>
      </w:r>
    </w:p>
    <w:p>
      <w:pPr>
        <w:pStyle w:val="VENumbered3"/>
        <w:numPr>
          <w:ilvl w:val="2"/>
          <w:numId w:val="7"/>
        </w:numPr>
        <w:ind w:hanging="0" w:start="0"/>
        <w:rPr/>
      </w:pPr>
      <w:r>
        <w:rPr/>
        <w:t xml:space="preserve">Upon Enron's receipt of a Consent and Release duly executed by an authorized representative of a Kiodex Customer and otherwise satisfactory to Enron, Enron will provide Customer-Specific Enron Transaction Data to Kiodex through the Enron Data Feed for transactions consummated after Enron’s receipt of the Consent and Release.  Kiodex will be responsible for obtaining all historical trade data and positions directly from Kiodex Customers. </w:t>
      </w:r>
    </w:p>
    <w:p>
      <w:pPr>
        <w:pStyle w:val="VENumbered3"/>
        <w:numPr>
          <w:ilvl w:val="2"/>
          <w:numId w:val="7"/>
        </w:numPr>
        <w:ind w:hanging="0" w:start="0"/>
        <w:rPr/>
      </w:pPr>
      <w:r>
        <w:rPr/>
        <w:t xml:space="preserve">Kiodex will be responsible for storing all Enron Data on the Kiodex Systems.  Enron will not provide any historic data, even if Kiodex loses data integrity on the Kiodex Systems. </w:t>
      </w:r>
    </w:p>
    <w:p>
      <w:pPr>
        <w:pStyle w:val="VENumbered3"/>
        <w:numPr>
          <w:ilvl w:val="2"/>
          <w:numId w:val="7"/>
        </w:numPr>
        <w:ind w:hanging="0" w:start="0"/>
        <w:rPr/>
      </w:pPr>
      <w:r>
        <w:rPr/>
        <w:t>Enron Customers will access their reports via the Kiodex Web Site using a Kiodex generated user identification and password.</w:t>
      </w:r>
    </w:p>
    <w:p>
      <w:pPr>
        <w:pStyle w:val="VENumbered2"/>
        <w:numPr>
          <w:ilvl w:val="1"/>
          <w:numId w:val="7"/>
        </w:numPr>
        <w:ind w:hanging="0" w:start="0"/>
        <w:rPr>
          <w:vanish/>
          <w:color w:val="0000FF"/>
        </w:rPr>
      </w:pPr>
      <w:bookmarkStart w:id="17" w:name="__RefHeading___Toc507407880"/>
      <w:bookmarkEnd w:id="17"/>
      <w:r>
        <w:rPr/>
        <w:t>Provision and Use of Customer-Specific Enron Transaction Data</w:t>
      </w:r>
    </w:p>
    <w:p>
      <w:pPr>
        <w:pStyle w:val="VEBodyText2"/>
        <w:rPr/>
      </w:pPr>
      <w:r>
        <w:rPr/>
        <w:t xml:space="preserve">.  Enron will provide to Kiodex, through the Enron Data Feed, Customer-Specific Enron Transaction Data for the sole purpose of permitting Kiodex to generate risk reports using the Kiodex Application for the relevant Kiodex Customer, subject to the following conditions, restrictions and requirements: </w:t>
      </w:r>
    </w:p>
    <w:p>
      <w:pPr>
        <w:pStyle w:val="VENumbered3"/>
        <w:numPr>
          <w:ilvl w:val="2"/>
          <w:numId w:val="7"/>
        </w:numPr>
        <w:ind w:hanging="0" w:start="0"/>
        <w:rPr/>
      </w:pPr>
      <w:r>
        <w:rPr/>
        <w:t>The Kiodex Customer must have provided Enron with a duly executed Consent and Release.</w:t>
      </w:r>
    </w:p>
    <w:p>
      <w:pPr>
        <w:pStyle w:val="VENumbered3"/>
        <w:numPr>
          <w:ilvl w:val="2"/>
          <w:numId w:val="7"/>
        </w:numPr>
        <w:ind w:hanging="0" w:start="0"/>
        <w:rPr/>
      </w:pPr>
      <w:r>
        <w:rPr/>
        <w:t>For Enron customers to continue to be able to request reports at the individual user level, Kiodex will have to mirror Enron’s master-user and sub-user structure.  Enron will transmit Customer-Specific Enron Transaction Data to Kiodex at the individual or sub-user level.  Kiodex shall aggregate transactions for customers to a level above sub-user if the Kiodex Customer requests such aggregation, and Enron will have no responsibility to help in this process and cannot be held accountable if it is performed incorrectly.</w:t>
      </w:r>
    </w:p>
    <w:p>
      <w:pPr>
        <w:pStyle w:val="VENumbered3"/>
        <w:numPr>
          <w:ilvl w:val="2"/>
          <w:numId w:val="7"/>
        </w:numPr>
        <w:ind w:hanging="0" w:start="0"/>
        <w:rPr/>
      </w:pPr>
      <w:r>
        <w:rPr/>
        <w:t>Enron owns and will continue to own all Enron Data, including all Intellectual Property Rights in and to such data.  Enron hereby grants to Kiodex a fully paid-up, royalty-free, non-exclusive, worldwide, non-assignable right and license during the Term for the sole purpose of allowing Kiodex to use the Customer-Specific Enron Transaction Data solely in conjunction with generating risk reports for such Customer with the Kiodex Application.  Enron reserves all of its rights in the Customer-Specific Enron Transaction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aggregate, redistribute, sell, transfer, publish or broadcast any Customer-Specific Enron Transaction Data to any person (including Enron Customers or Kiodex Customer) or for any purpose, except as expressly and specifically permitted in this Section.  Specifically, and without limiting the foregoing, Kiodex shall prevent Enron Customers from copying or retrieving any of the Customer-Specific Enron Transaction Data or any Derived Data relating thereto in electronic form; such data shall be available to Enron Customers solely in a “view only” format.  </w:t>
      </w:r>
    </w:p>
    <w:p>
      <w:pPr>
        <w:pStyle w:val="VENumbered3"/>
        <w:numPr>
          <w:ilvl w:val="2"/>
          <w:numId w:val="7"/>
        </w:numPr>
        <w:ind w:hanging="0" w:start="0"/>
        <w:rPr/>
      </w:pPr>
      <w:r>
        <w:rPr/>
        <w:t xml:space="preserve">Kiodex agrees that it will not permit any person to directly or indirectly access any of the Customer-Specific Enron Transaction Data or any Derived Data from the Customer-Specific Encrypted Enron Transaction Data (except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GENERAL OBLIGATIONS OF THE PARTIES</w:t>
      </w:r>
    </w:p>
    <w:p>
      <w:pPr>
        <w:pStyle w:val="VENumbered2"/>
        <w:numPr>
          <w:ilvl w:val="1"/>
          <w:numId w:val="7"/>
        </w:numPr>
        <w:ind w:hanging="0" w:start="0"/>
        <w:rPr>
          <w:vanish/>
          <w:color w:val="0000FF"/>
        </w:rPr>
      </w:pPr>
      <w:bookmarkStart w:id="18" w:name="__RefHeading___Toc507407882"/>
      <w:bookmarkEnd w:id="18"/>
      <w:r>
        <w:rPr/>
        <w:t>Changes to Kiodex Lite Tool and Kiodex Reports</w:t>
      </w:r>
    </w:p>
    <w:p>
      <w:pPr>
        <w:pStyle w:val="VEBodyText2"/>
        <w:rPr/>
      </w:pPr>
      <w:r>
        <w:rPr/>
        <w:t xml:space="preserve">.  Upon Enron’s acceptance of the Kiodex Lite Tool, Kiodex will not make any modifications to any aspect of any Kiodex Web Site that could reasonably be expected to interfere with or disrupt the continued reliability and operations of the Enron Data Feed or any other links to Kiodex that are supported by Enron without providing Enron with at least </w:t>
      </w:r>
      <w:r>
        <w:rPr>
          <w:rStyle w:val="VEBold"/>
        </w:rPr>
        <w:t>[thirty (30)]</w:t>
      </w:r>
      <w:r>
        <w:rPr/>
        <w:t xml:space="preserve"> days advance notice of such modifications, an opportunity to discuss any proposed or scheduled modifications, and personnel and other support (including payment of Enron's out-of-pocket expenses) for any changes to the Enron Data Feed necessary to avoid such interference or disruption.  No changes may be made to the Kiodex Lite Tool or the Kiodex Reports without adequate testing by both parties to ensure uninterrupted operation of the Kiodex Lite Tool.  No changes may be made to the Kiodex Reports that would make such Reports inconsistent with the functionality, features and performance standards set forth in </w:t>
      </w:r>
      <w:r>
        <w:rPr>
          <w:u w:val="single"/>
        </w:rPr>
        <w:t>Exhibit B</w:t>
      </w:r>
      <w:r>
        <w:rPr/>
        <w:t xml:space="preserve"> without the prior written consent of Enron.</w:t>
      </w:r>
    </w:p>
    <w:p>
      <w:pPr>
        <w:pStyle w:val="VENumbered2"/>
        <w:numPr>
          <w:ilvl w:val="1"/>
          <w:numId w:val="7"/>
        </w:numPr>
        <w:ind w:hanging="0" w:start="0"/>
        <w:rPr>
          <w:vanish/>
          <w:color w:val="0000FF"/>
        </w:rPr>
      </w:pPr>
      <w:bookmarkStart w:id="19" w:name="__RefHeading___Toc507407883"/>
      <w:bookmarkEnd w:id="19"/>
      <w:r>
        <w:rPr/>
        <w:t>Changes to the Enron Web Site</w:t>
      </w:r>
    </w:p>
    <w:p>
      <w:pPr>
        <w:pStyle w:val="VEBodyTextFLI"/>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of the Kiodex Lite Tool or any Kiodex Links, Enron will have the right to fulfill the foregoing placement commitment by providing Kiodex with comparable placements in appropriate alternative areas of the Enron Web Site.  Such alternative placement will be chosen by Enron in its reasonable judgment, and Kiodex’s sole remedy will be to have a comparable placement.  </w:t>
      </w:r>
    </w:p>
    <w:p>
      <w:pPr>
        <w:pStyle w:val="VENumbered2"/>
        <w:numPr>
          <w:ilvl w:val="1"/>
          <w:numId w:val="7"/>
        </w:numPr>
        <w:ind w:hanging="0" w:start="0"/>
        <w:rPr>
          <w:vanish/>
          <w:color w:val="0000FF"/>
        </w:rPr>
      </w:pPr>
      <w:bookmarkStart w:id="20" w:name="__RefHeading___Toc507407884"/>
      <w:bookmarkEnd w:id="20"/>
      <w:r>
        <w:rPr/>
        <w:t>Maintenance</w:t>
      </w:r>
    </w:p>
    <w:p>
      <w:pPr>
        <w:pStyle w:val="VEBodyText2"/>
        <w:rPr/>
      </w:pPr>
      <w:r>
        <w:rPr/>
        <w:t xml:space="preserve">.  After the Kiodex Lite Tool Launch Date, in the event of any condition with respect to the Enron Web Site or the Enron Data Feed that results in a significant loss or degradation of functionality of the Kiodex Lite Tool due to causes within Enron’s control, Enron shall promptly supply the services (via telephone or on site, as reasonably requested by Kiodex) of qualified and knowledgeable staff with familiarity with the Enron Website so as to promptly restore such lost or degraded functionality; provided, however, that in no event shall Enron have any liability to Kiodex or any third party for any such interruptions or degradations, as Enron is not warranting that such interruptions or degradations will not happen.  </w:t>
      </w:r>
    </w:p>
    <w:p>
      <w:pPr>
        <w:pStyle w:val="VENumbered2"/>
        <w:numPr>
          <w:ilvl w:val="1"/>
          <w:numId w:val="7"/>
        </w:numPr>
        <w:ind w:hanging="0" w:start="0"/>
        <w:rPr>
          <w:vanish/>
          <w:color w:val="0000FF"/>
        </w:rPr>
      </w:pPr>
      <w:bookmarkStart w:id="21" w:name="__RefHeading___Toc507407885"/>
      <w:bookmarkEnd w:id="21"/>
      <w:r>
        <w:rPr/>
        <w:t>Technology</w:t>
      </w:r>
    </w:p>
    <w:p>
      <w:pPr>
        <w:pStyle w:val="VEBodyText2"/>
        <w:rPr/>
      </w:pPr>
      <w:r>
        <w:rPr/>
        <w:t xml:space="preserve">.  Kiodex will conform the Kiodex Web Site to the then-existing technologies identified by Enron from time to time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  </w:t>
      </w:r>
    </w:p>
    <w:p>
      <w:pPr>
        <w:pStyle w:val="VENumbered2"/>
        <w:numPr>
          <w:ilvl w:val="1"/>
          <w:numId w:val="7"/>
        </w:numPr>
        <w:ind w:hanging="0" w:start="0"/>
        <w:rPr>
          <w:vanish/>
          <w:color w:val="0000FF"/>
        </w:rPr>
      </w:pPr>
      <w:bookmarkStart w:id="22" w:name="__RefHeading___Toc507407886"/>
      <w:bookmarkEnd w:id="22"/>
      <w:r>
        <w:rPr/>
        <w:t>Security</w:t>
      </w:r>
    </w:p>
    <w:p>
      <w:pPr>
        <w:pStyle w:val="VEBodyText2"/>
        <w:rPr/>
      </w:pPr>
      <w:r>
        <w:rPr/>
        <w:t xml:space="preserve">.  Kiodex shall ensure the security of all Enron Data and ensure that Enron Data is used only as expressly permitted by this Agreement.  Without limiting the foregoing, Kiodex shall implement such security measures reasonably requested by Enron to protect the Enron Data.  </w:t>
      </w:r>
    </w:p>
    <w:p>
      <w:pPr>
        <w:pStyle w:val="VENumbered2"/>
        <w:numPr>
          <w:ilvl w:val="1"/>
          <w:numId w:val="7"/>
        </w:numPr>
        <w:ind w:hanging="0" w:start="0"/>
        <w:rPr>
          <w:vanish/>
          <w:color w:val="0000FF"/>
        </w:rPr>
      </w:pPr>
      <w:bookmarkStart w:id="23" w:name="__RefHeading___Toc507407887"/>
      <w:bookmarkEnd w:id="23"/>
      <w:r>
        <w:rPr/>
        <w:t>Operating Standards</w:t>
      </w:r>
    </w:p>
    <w:p>
      <w:pPr>
        <w:pStyle w:val="VEBodyText2"/>
        <w:rPr/>
      </w:pPr>
      <w:r>
        <w:rPr/>
        <w:t xml:space="preserve">.  From and after the Kiodex Lite Tool Launch Date, Kiodex will ensure that the Kiodex Web Site complies in all material respects with the standards set forth in </w:t>
      </w:r>
      <w:r>
        <w:rPr>
          <w:rStyle w:val="VEUnderline"/>
        </w:rPr>
        <w:t>Exhibit E</w:t>
      </w:r>
      <w:r>
        <w:rPr/>
        <w:t xml:space="preserve">.  In the event Kiodex fails to comply with the operational standards set forth in </w:t>
      </w:r>
      <w:r>
        <w:rPr>
          <w:rStyle w:val="VEUnderline"/>
        </w:rPr>
        <w:t>Exhibit E</w:t>
      </w:r>
      <w:r>
        <w:rPr/>
        <w:t xml:space="preserve"> and Enron reasonably determines that such failure is affecting the ability of Enron Customers to use the Kiodex Lite Tool, or is otherwise having an adverse effect on any part of the Enron Web Site, Enron will have the right (in addition to any other remedies available to Enron hereunder) to deactivate or remove the Kiodex Lite Tool until such time as Kiodex corrects such non-compliance to Enron’s satisfaction. </w:t>
      </w:r>
    </w:p>
    <w:p>
      <w:pPr>
        <w:pStyle w:val="VENumbered2"/>
        <w:numPr>
          <w:ilvl w:val="1"/>
          <w:numId w:val="7"/>
        </w:numPr>
        <w:ind w:hanging="0" w:start="0"/>
        <w:rPr>
          <w:vanish/>
          <w:color w:val="0000FF"/>
        </w:rPr>
      </w:pPr>
      <w:bookmarkStart w:id="24" w:name="__RefHeading___Toc507407888"/>
      <w:bookmarkEnd w:id="24"/>
      <w:r>
        <w:rPr/>
        <w:t>Traffic Flow</w:t>
      </w:r>
    </w:p>
    <w:p>
      <w:pPr>
        <w:pStyle w:val="VEBodyText2"/>
        <w:rPr/>
      </w:pPr>
      <w:r>
        <w:rPr/>
        <w:t>.  Kiodex will ensure that traffic originating from the Enron Web Site is either kept within the Kiodex Web Site or channeled back into the Enron Web Site.  The Parties will work together on implementing mutually acceptable links from the Kiodex Web Site back to the Enron Web Site.  In the event that Enron points or otherwise delivers traffic to the Kiodex Web Site, Kiodex will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w:t>
        <w:noBreakHyphen/>
        <w:t>up window or any other similar device.</w:t>
      </w:r>
    </w:p>
    <w:p>
      <w:pPr>
        <w:pStyle w:val="VENumbered1"/>
        <w:keepLines/>
        <w:numPr>
          <w:ilvl w:val="0"/>
          <w:numId w:val="7"/>
        </w:numPr>
        <w:ind w:hanging="0" w:start="0"/>
        <w:rPr/>
      </w:pPr>
      <w:r>
        <w:rPr/>
        <w:t>PAYMENT</w:t>
      </w:r>
    </w:p>
    <w:p>
      <w:pPr>
        <w:pStyle w:val="VENumbered2"/>
        <w:keepNext w:val="true"/>
        <w:keepLines/>
        <w:numPr>
          <w:ilvl w:val="1"/>
          <w:numId w:val="7"/>
        </w:numPr>
        <w:ind w:hanging="0" w:start="0"/>
        <w:rPr/>
      </w:pPr>
      <w:bookmarkStart w:id="25" w:name="__RefHeading___Toc507407890"/>
      <w:bookmarkEnd w:id="25"/>
      <w:r>
        <w:rPr/>
        <w:t>Warrant</w:t>
      </w:r>
    </w:p>
    <w:p>
      <w:pPr>
        <w:pStyle w:val="VENumbered3"/>
        <w:keepNext w:val="true"/>
        <w:keepLines/>
        <w:numPr>
          <w:ilvl w:val="2"/>
          <w:numId w:val="7"/>
        </w:numPr>
        <w:ind w:hanging="0" w:start="0"/>
        <w:rPr/>
      </w:pPr>
      <w:r>
        <w:rPr/>
        <w:t xml:space="preserve">In consideration for Enron’s agreements and undertakings hereunder, on the Effective Date, Kiodex shall issue to Enron a warrant in the form of </w:t>
      </w:r>
      <w:r>
        <w:rPr>
          <w:rStyle w:val="VEUnderline"/>
        </w:rPr>
        <w:t>Exhibit D</w:t>
      </w:r>
      <w:r>
        <w:rPr/>
        <w:t xml:space="preserve"> attached hereto (the “</w:t>
      </w:r>
      <w:r>
        <w:rPr>
          <w:rStyle w:val="VEUnderline"/>
        </w:rPr>
        <w:t>Warrant</w:t>
      </w:r>
      <w:r>
        <w:rPr/>
        <w:t xml:space="preserve">”) to purchase up to 2,279,613 shares of Common Stock.  </w:t>
      </w:r>
    </w:p>
    <w:p>
      <w:pPr>
        <w:pStyle w:val="VENumbered3"/>
        <w:numPr>
          <w:ilvl w:val="2"/>
          <w:numId w:val="7"/>
        </w:numPr>
        <w:ind w:hanging="0" w:start="0"/>
        <w:rPr/>
      </w:pPr>
      <w:r>
        <w:rPr/>
        <w:t xml:space="preserve">The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increases.  </w:t>
      </w:r>
    </w:p>
    <w:p>
      <w:pPr>
        <w:pStyle w:val="VENumbered2"/>
        <w:numPr>
          <w:ilvl w:val="1"/>
          <w:numId w:val="7"/>
        </w:numPr>
        <w:ind w:hanging="0" w:start="0"/>
        <w:rPr>
          <w:vanish/>
          <w:color w:val="0000FF"/>
        </w:rPr>
      </w:pPr>
      <w:bookmarkStart w:id="26" w:name="__RefHeading___Toc507407891"/>
      <w:bookmarkEnd w:id="26"/>
      <w:r>
        <w:rPr/>
        <w:t>Qualified Users</w:t>
      </w:r>
    </w:p>
    <w:p>
      <w:pPr>
        <w:pStyle w:val="VEBodyText2"/>
        <w:rPr/>
      </w:pPr>
      <w:r>
        <w:rPr/>
        <w:t>.  On a monthly basis, Kiodex will provide Enron with a report indicating the number of Qualified Users.  Enron will have the right to review and audit any records or other information that Kiodex may have to confirm the number of Qualified Users reported by Kiodex.  Such reports are for information purposes only and shall not be binding on Enron for purposes of establishing the number of Qualified Users under the Warrant.</w:t>
      </w:r>
    </w:p>
    <w:p>
      <w:pPr>
        <w:pStyle w:val="VENumbered2"/>
        <w:numPr>
          <w:ilvl w:val="1"/>
          <w:numId w:val="7"/>
        </w:numPr>
        <w:ind w:hanging="0" w:start="0"/>
        <w:rPr>
          <w:vanish/>
          <w:color w:val="0000FF"/>
        </w:rPr>
      </w:pPr>
      <w:bookmarkStart w:id="27" w:name="__RefHeading___Toc507407892"/>
      <w:bookmarkEnd w:id="27"/>
      <w:r>
        <w:rPr/>
        <w:t>Legal Opinion</w:t>
      </w:r>
    </w:p>
    <w:p>
      <w:pPr>
        <w:pStyle w:val="VEBodyText2"/>
        <w:rPr/>
      </w:pPr>
      <w:r>
        <w:rPr/>
        <w:t xml:space="preserve">.  Contemporaneously with the execution of this Agreement, Kiodex will deliver to Enron an opinion from Kiodex’s counsel dated the Effective Date, addressed to Enron, and satisfactory in form and substance to Enron, in the form set forth in </w:t>
      </w:r>
      <w:r>
        <w:rPr>
          <w:rStyle w:val="VEUnderline"/>
        </w:rPr>
        <w:t>Exhibit H</w:t>
      </w:r>
      <w:r>
        <w:rPr/>
        <w:t xml:space="preserve"> subject to customary assumptions, limitations and qualifications.</w:t>
      </w:r>
    </w:p>
    <w:p>
      <w:pPr>
        <w:pStyle w:val="VENumbered2"/>
        <w:numPr>
          <w:ilvl w:val="1"/>
          <w:numId w:val="7"/>
        </w:numPr>
        <w:ind w:hanging="0" w:start="0"/>
        <w:rPr>
          <w:vanish/>
          <w:color w:val="0000FF"/>
        </w:rPr>
      </w:pPr>
      <w:bookmarkStart w:id="28" w:name="__RefHeading___Toc507407893"/>
      <w:bookmarkEnd w:id="28"/>
      <w:r>
        <w:rPr/>
        <w:t>Legend</w:t>
      </w:r>
    </w:p>
    <w:p>
      <w:pPr>
        <w:pStyle w:val="VEBodyText2"/>
        <w:rPr/>
      </w:pPr>
      <w:r>
        <w:rPr/>
        <w:t>.  The Warrant and each certificate representing the shares of Common Stock issuable upon exercise of the Warrant (“</w:t>
      </w:r>
      <w:r>
        <w:rPr>
          <w:u w:val="single"/>
        </w:rPr>
        <w:t>Warrant Shares</w:t>
      </w:r>
      <w:r>
        <w:rPr/>
        <w:t>”) shall bear a legend substantially in the following form:</w:t>
      </w:r>
    </w:p>
    <w:p>
      <w:pPr>
        <w:pStyle w:val="VEBodyText"/>
        <w:ind w:start="720" w:end="0"/>
        <w:rPr/>
      </w:pPr>
      <w:r>
        <w:rPr/>
        <w:t>[THIS WARRANT AND THE SECURITIES REPRESENTED BY THIS WARRANT] [THE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[THIS WARRANT] [SUCH SHARES] MAY NOT BE SOLD OR OTHERWISE TRANSFERRED OR PLEDGED, UNTIL (I) A REGISTRATION STATEMENT HAS BEEN DECLARED EFFECTIVE UNDER THE SECURITIES ACT AND SUCH APPLICABLE STATE SECURITIES LAWS OR (II) KIODEX RECEIVES AN OPINION OF COUNSEL THAT SUCH SECURITIES MAY BE TRANSFERRED WITHOUT REGISTRATION.</w:t>
      </w:r>
    </w:p>
    <w:p>
      <w:pPr>
        <w:pStyle w:val="VEBodyText"/>
        <w:rPr/>
      </w:pPr>
      <w:r>
        <w:rPr/>
        <w:t>Kiodex shall cause the foregoing legend to be removed from the Warrant or the certificates representing any restricted securities (as defined under Rule 144 under the Securities Act), at the request of the holder thereof, at such time as they cease to be restricted securities.</w:t>
      </w:r>
    </w:p>
    <w:p>
      <w:pPr>
        <w:pStyle w:val="VENumbered1"/>
        <w:numPr>
          <w:ilvl w:val="0"/>
          <w:numId w:val="7"/>
        </w:numPr>
        <w:ind w:hanging="0" w:start="0"/>
        <w:rPr/>
      </w:pPr>
      <w:r>
        <w:rPr/>
        <w:t>TERM AND TERMINATION</w:t>
      </w:r>
    </w:p>
    <w:p>
      <w:pPr>
        <w:pStyle w:val="VENumbered2"/>
        <w:keepNext w:val="true"/>
        <w:numPr>
          <w:ilvl w:val="1"/>
          <w:numId w:val="7"/>
        </w:numPr>
        <w:ind w:hanging="0" w:start="0"/>
        <w:rPr>
          <w:vanish/>
          <w:color w:val="0000FF"/>
        </w:rPr>
      </w:pPr>
      <w:bookmarkStart w:id="29" w:name="__RefHeading___Toc507407895"/>
      <w:bookmarkEnd w:id="29"/>
      <w:r>
        <w:rPr/>
        <w:t>Term</w:t>
      </w:r>
    </w:p>
    <w:p>
      <w:pPr>
        <w:pStyle w:val="VEBodyText2"/>
        <w:rPr/>
      </w:pPr>
      <w:r>
        <w:rPr/>
        <w:t>.  This Agreement will commence upon the Effective Date and shall continue for five (5) years from the Effective Date, unless terminated earlier in accordance with this Agreement (the “</w:t>
      </w:r>
      <w:r>
        <w:rPr>
          <w:rStyle w:val="VEUnderline"/>
        </w:rPr>
        <w:t>Term</w:t>
      </w:r>
      <w:r>
        <w:rPr/>
        <w:t>”).</w:t>
      </w:r>
    </w:p>
    <w:p>
      <w:pPr>
        <w:pStyle w:val="VENumbered2"/>
        <w:numPr>
          <w:ilvl w:val="1"/>
          <w:numId w:val="7"/>
        </w:numPr>
        <w:ind w:hanging="0" w:start="0"/>
        <w:rPr>
          <w:vanish/>
          <w:color w:val="0000FF"/>
        </w:rPr>
      </w:pPr>
      <w:bookmarkStart w:id="30" w:name="__RefHeading___Toc507407896"/>
      <w:bookmarkEnd w:id="30"/>
      <w:r>
        <w:rPr/>
        <w:t>Termination by Kiodex</w:t>
      </w:r>
    </w:p>
    <w:p>
      <w:pPr>
        <w:pStyle w:val="VEBodyText2"/>
        <w:rPr/>
      </w:pPr>
      <w:r>
        <w:rPr/>
        <w:t>.  Upon the occurrence of any of the following:</w:t>
      </w:r>
    </w:p>
    <w:p>
      <w:pPr>
        <w:pStyle w:val="VENumbered3"/>
        <w:numPr>
          <w:ilvl w:val="2"/>
          <w:numId w:val="7"/>
        </w:numPr>
        <w:ind w:hanging="0" w:start="0"/>
        <w:rPr/>
      </w:pPr>
      <w:r>
        <w:rPr/>
        <w:t xml:space="preserve">The Enron Data Feed Launch Date shall not have occurred on or before June 1, 2001, in accordance with </w:t>
      </w:r>
      <w:r>
        <w:rPr>
          <w:rStyle w:val="VEUnderline"/>
        </w:rPr>
        <w:t>Article III</w:t>
      </w:r>
      <w:r>
        <w:rPr/>
        <w:t xml:space="preserve">; </w:t>
      </w:r>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Kiodex Regulatory Event shall have occurred that shall not have been suspended, terminated, remedied or otherwise resolved to the reasonable satisfaction of Kiodex within five (5) days of Enron’s receipt of written notice of the occurrence of such event; </w:t>
      </w:r>
    </w:p>
    <w:p>
      <w:pPr>
        <w:pStyle w:val="VENumbered3"/>
        <w:numPr>
          <w:ilvl w:val="2"/>
          <w:numId w:val="7"/>
        </w:numPr>
        <w:ind w:hanging="0" w:start="0"/>
        <w:rPr/>
      </w:pPr>
      <w:r>
        <w:rPr/>
        <w:t xml:space="preserve">An Enron Operational Failure shall have occurred;  </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at any time after the date that is two (2) years from the Kiodex Lite Tool Launch Date, Kiodex determines, in its sole discretion, that it is not in Kiodex's commercial or business interests to continue to perform this Agreement;</w:t>
      </w:r>
    </w:p>
    <w:p>
      <w:pPr>
        <w:pStyle w:val="VENumbered3"/>
        <w:numPr>
          <w:ilvl w:val="0"/>
          <w:numId w:val="0"/>
        </w:numPr>
        <w:ind w:hanging="0" w:start="0"/>
        <w:rPr/>
      </w:pPr>
      <w:r>
        <w:rPr/>
        <w:t xml:space="preserve">then Kiodex may, upon  </w:t>
      </w:r>
      <w:r>
        <w:rPr>
          <w:b/>
          <w:bCs/>
        </w:rPr>
        <w:t>[ten (10)]</w:t>
      </w:r>
      <w:r>
        <w:rPr/>
        <w:t xml:space="preserve"> days prior written notice to Enron, terminate this Agreement; provided, however, that pending (by virtue of any cure or notice period that is provided under this Agreement) any such termination of this Agreement, upon written notice to Enron Kiodex may disable, deactivate and/or remove the Kiodex Lite Tool during any applicable cure period.</w:t>
      </w:r>
    </w:p>
    <w:p>
      <w:pPr>
        <w:pStyle w:val="VENumbered2"/>
        <w:numPr>
          <w:ilvl w:val="1"/>
          <w:numId w:val="7"/>
        </w:numPr>
        <w:ind w:hanging="0" w:start="0"/>
        <w:rPr>
          <w:vanish/>
          <w:color w:val="0000FF"/>
        </w:rPr>
      </w:pPr>
      <w:bookmarkStart w:id="31" w:name="__RefHeading___Toc507407897"/>
      <w:bookmarkEnd w:id="31"/>
      <w:r>
        <w:rPr/>
        <w:t>Termination by Enron</w:t>
      </w:r>
    </w:p>
    <w:p>
      <w:pPr>
        <w:pStyle w:val="VEBodyText"/>
        <w:rPr/>
      </w:pPr>
      <w:r>
        <w:rPr/>
        <w:t>.  Upon the occurrence of any of the following:</w:t>
      </w:r>
    </w:p>
    <w:p>
      <w:pPr>
        <w:pStyle w:val="VENumbered3"/>
        <w:numPr>
          <w:ilvl w:val="2"/>
          <w:numId w:val="7"/>
        </w:numPr>
        <w:ind w:hanging="0" w:start="0"/>
        <w:rPr/>
      </w:pPr>
      <w:r>
        <w:rPr/>
        <w:t>The Kiodex Lite Tool Launch Date shall not have occurred on or before June 1, 2001, in accordance with Article III;</w:t>
      </w:r>
    </w:p>
    <w:p>
      <w:pPr>
        <w:pStyle w:val="VENumbered3"/>
        <w:numPr>
          <w:ilvl w:val="2"/>
          <w:numId w:val="7"/>
        </w:numPr>
        <w:ind w:hanging="0" w:start="0"/>
        <w:rPr/>
      </w:pPr>
      <w:r>
        <w:rPr/>
        <w:t xml:space="preserve">Enron shall have disabled, deactivated, or removed the Kiodex Lite Tool or any of the Kiodex Links on three (3) or more occasions within any </w:t>
      </w:r>
      <w:r>
        <w:rPr>
          <w:rStyle w:val="VEBold"/>
        </w:rPr>
        <w:t>[six (6)]</w:t>
      </w:r>
      <w:r>
        <w:rPr/>
        <w:t xml:space="preserve"> month period, and such suspensions taken together reflect, in Enron’s reasonable judgment, material deficiencies in the reliability or operational integrity of Kiodex’s Application, the Kiodex Web Site, or the Kiodex Systems;</w:t>
      </w:r>
    </w:p>
    <w:p>
      <w:pPr>
        <w:pStyle w:val="VENumbered3"/>
        <w:numPr>
          <w:ilvl w:val="2"/>
          <w:numId w:val="7"/>
        </w:numPr>
        <w:ind w:hanging="0" w:start="0"/>
        <w:rPr/>
      </w:pPr>
      <w:r>
        <w:rPr/>
        <w:t>A Bankruptcy Event shall have occurred with respect to Kiodex;</w:t>
      </w:r>
    </w:p>
    <w:p>
      <w:pPr>
        <w:pStyle w:val="VENumbered3"/>
        <w:numPr>
          <w:ilvl w:val="2"/>
          <w:numId w:val="7"/>
        </w:numPr>
        <w:ind w:hanging="0" w:start="0"/>
        <w:rPr/>
      </w:pPr>
      <w:r>
        <w:rPr/>
        <w:t>An Kiodex Operational Failure shall have occurred;</w:t>
      </w:r>
    </w:p>
    <w:p>
      <w:pPr>
        <w:pStyle w:val="VENumbered3"/>
        <w:numPr>
          <w:ilvl w:val="2"/>
          <w:numId w:val="7"/>
        </w:numPr>
        <w:ind w:hanging="0" w:start="0"/>
        <w:rPr/>
      </w:pPr>
      <w:r>
        <w:rPr/>
        <w:t>A Change of Control shall have occurred with respect to Kiodex;</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if Enron determines in its reasonable discretion that the Kiodex Web Site, the Kiodex products (including the Kiodex Lite Tool and the Kiodex Application) or security measures relating to the Enron Data do not meet Enron’s standards, and Kiodex shall have failure to fully address Enron’s concerns within </w:t>
      </w:r>
      <w:r>
        <w:rPr>
          <w:rStyle w:val="VEBold"/>
        </w:rPr>
        <w:t>[thirty (30)]</w:t>
      </w:r>
      <w:r>
        <w:rPr>
          <w:rStyle w:val="VEBold"/>
          <w:b w:val="false"/>
          <w:bCs/>
        </w:rPr>
        <w:t xml:space="preserve"> days after it receives written notice of such concerns;</w:t>
      </w:r>
    </w:p>
    <w:p>
      <w:pPr>
        <w:pStyle w:val="VENumbered3"/>
        <w:numPr>
          <w:ilvl w:val="2"/>
          <w:numId w:val="7"/>
        </w:numPr>
        <w:ind w:hanging="0" w:start="0"/>
        <w:rPr/>
      </w:pPr>
      <w:r>
        <w:rPr/>
        <w:t xml:space="preserve">Kiodex shall be in default in any material respect of the Warrant or the Stockholders’ Agreement in respect of the Warrant Shares; </w:t>
      </w:r>
    </w:p>
    <w:p>
      <w:pPr>
        <w:pStyle w:val="VENumbered3"/>
        <w:numPr>
          <w:ilvl w:val="2"/>
          <w:numId w:val="7"/>
        </w:numPr>
        <w:ind w:hanging="0" w:start="0"/>
        <w:rPr/>
      </w:pPr>
      <w:r>
        <w:rPr/>
        <w:t>Kiodex shall be in default of any provision of this Agreement, and such default has not been cured within sixty (60) days after Kiodex’s receipt of a written notice of such default; or</w:t>
      </w:r>
    </w:p>
    <w:p>
      <w:pPr>
        <w:pStyle w:val="VENumbered3"/>
        <w:numPr>
          <w:ilvl w:val="2"/>
          <w:numId w:val="7"/>
        </w:numPr>
        <w:ind w:hanging="0" w:start="0"/>
        <w:rPr/>
      </w:pPr>
      <w:r>
        <w:rPr/>
        <w:t>at any time after the date that is two (2) years from the Kiodex Lite Tool Launch Date, Enron determines, in its sole discretion, that it is not in Enron's commercial or business interests to continue to perform this Agreement;</w:t>
      </w:r>
    </w:p>
    <w:p>
      <w:pPr>
        <w:pStyle w:val="VENumbered3"/>
        <w:numPr>
          <w:ilvl w:val="0"/>
          <w:numId w:val="0"/>
        </w:numPr>
        <w:ind w:hanging="0" w:start="0"/>
        <w:rPr/>
      </w:pPr>
      <w:r>
        <w:rPr/>
        <w:t xml:space="preserve">then Enron may, upon </w:t>
      </w:r>
      <w:r>
        <w:rPr>
          <w:b/>
          <w:bCs/>
        </w:rPr>
        <w:t>[ten (10)]</w:t>
      </w:r>
      <w:r>
        <w:rPr/>
        <w:t xml:space="preserve"> days prior written notice to Kiodex, terminate this Agreement; provided, however, that pending (by virtue of any cure or notice period that is provided in this Agreement) any such termination of this Agreement, upon written notice to Kiodex Enron may disable, deactivate and/or remove the Enron Data Feed, the Kiodex Lite Tool and other Kiodex features on the Enron Web Site during any applicable cure period. </w:t>
      </w:r>
    </w:p>
    <w:p>
      <w:pPr>
        <w:pStyle w:val="VENumbered2"/>
        <w:numPr>
          <w:ilvl w:val="1"/>
          <w:numId w:val="7"/>
        </w:numPr>
        <w:ind w:hanging="0" w:start="0"/>
        <w:rPr>
          <w:vanish/>
          <w:color w:val="0000FF"/>
        </w:rPr>
      </w:pPr>
      <w:bookmarkStart w:id="32" w:name="__RefHeading___Toc507407898"/>
      <w:bookmarkEnd w:id="32"/>
      <w:r>
        <w:rPr/>
        <w:t>Consequences of Termination</w:t>
      </w:r>
    </w:p>
    <w:p>
      <w:pPr>
        <w:pStyle w:val="VEBodyText2"/>
        <w:rPr/>
      </w:pPr>
      <w:r>
        <w:rPr/>
        <w:t xml:space="preserve">.  In the event that this Agreement is terminated for any reason (a) Enron’s obligations to provide the Enron Data Feed and placement of the Kiodex Lite Tool on the Enron Web Site shall terminate immediately; (b) Kiodex shall purge any Encrypted Enron Transaction Data, Customer-Specific Enron Transaction Data, and Enron Market Data that was provided to Kiodex prior to the termination of the Agreement; and (c) neither party will have any further obligations hereunder except as provided in </w:t>
      </w:r>
      <w:r>
        <w:rPr>
          <w:u w:val="single"/>
        </w:rPr>
        <w:t>Section 12.1</w:t>
      </w:r>
      <w:r>
        <w:rPr/>
        <w:t>.</w:t>
      </w:r>
    </w:p>
    <w:p>
      <w:pPr>
        <w:pStyle w:val="VENumbered1"/>
        <w:numPr>
          <w:ilvl w:val="0"/>
          <w:numId w:val="7"/>
        </w:numPr>
        <w:ind w:hanging="0" w:start="0"/>
        <w:rPr/>
      </w:pPr>
      <w:r>
        <w:rPr/>
        <w:t>REPRESENTATIONS AND WARRANTIES</w:t>
      </w:r>
    </w:p>
    <w:p>
      <w:pPr>
        <w:pStyle w:val="VENumbered2"/>
        <w:numPr>
          <w:ilvl w:val="0"/>
          <w:numId w:val="0"/>
        </w:numPr>
        <w:ind w:firstLine="720" w:start="0" w:end="0"/>
        <w:rPr>
          <w:vanish/>
          <w:color w:val="0000FF"/>
        </w:rPr>
      </w:pPr>
      <w:bookmarkStart w:id="33" w:name="__RefHeading___Toc507407900"/>
      <w:bookmarkEnd w:id="33"/>
      <w:r>
        <w:rPr>
          <w:i w:val="false"/>
          <w:iCs w:val="false"/>
        </w:rPr>
        <w:t>9.1</w:t>
        <w:tab/>
      </w:r>
      <w:r>
        <w:rPr/>
        <w:t>Representations and Warranties of Kiodex</w:t>
      </w:r>
    </w:p>
    <w:p>
      <w:pPr>
        <w:pStyle w:val="VEBodyText2"/>
        <w:rPr/>
      </w:pPr>
      <w:r>
        <w:rPr/>
        <w:t>.  Kiodex represents and warrants to Enron as follows:</w:t>
      </w:r>
    </w:p>
    <w:p>
      <w:pPr>
        <w:pStyle w:val="VENumbered3"/>
        <w:numPr>
          <w:ilvl w:val="2"/>
          <w:numId w:val="7"/>
        </w:numPr>
        <w:ind w:hanging="0" w:start="0"/>
        <w:rPr/>
      </w:pPr>
      <w:r>
        <w:rPr>
          <w:rStyle w:val="VEBoldItalic"/>
        </w:rPr>
        <w:t>Organization.</w:t>
      </w:r>
      <w:r>
        <w:rPr/>
        <w:t xml:space="preserve">  Kiodex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its obligations under this Agreement and the Warrant and to carry out the transactions contemplated hereby and thereby.  </w:t>
      </w:r>
    </w:p>
    <w:p>
      <w:pPr>
        <w:pStyle w:val="VENumbered3"/>
        <w:numPr>
          <w:ilvl w:val="2"/>
          <w:numId w:val="7"/>
        </w:numPr>
        <w:ind w:hanging="0" w:start="0"/>
        <w:rPr/>
      </w:pPr>
      <w:r>
        <w:rPr>
          <w:b/>
          <w:bCs/>
          <w:i/>
          <w:iCs/>
        </w:rPr>
        <w:t>Authorization.</w:t>
      </w:r>
      <w:r>
        <w:rPr/>
        <w:t xml:space="preserve">  Kiodex has all requisite power and authority to carry out the transactions contemplated hereby and by the Warrant, and the execution, delivery and performance by Kiodex of this Agreement and the Warrant and the consummation by Kiodex of the transactions contemplated hereby and thereby have been duly authorized by all requisite corporate action including necessary stockholder action.  This Agreement and the Warrant have been duly executed and delivered on behalf of Kiodex and constitute the valid and binding obligations of Kiodex,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and the Warrant, compliance with the provisions hereof and thereof by Kiodex and the issuance, sale and delivery of the Warrant and the Warrant Shares, do not and will not, with or without the passage of time or the giving of notice or both, (a) violate any law, rule, statute, regulation or ruling, order or judgment of any court, administrative agency or other governmental entity applicable to Kiodex or any of its assets, (b) violate or conflict with any provision of the Amended and Restated Certificate of Incorporation of Kiodex or By-Laws of Kiodex as in effect on the Effective Date, (c) conflict with, result in a breach of, constitute a default under, result in the acceleration of, create in any party the right to accelerate, terminate, modify or cancel, or require any notice under any contract to which Kiodex is a party or by which any of the assets of Kiodex are bound, or (d) result in the imposition of any liens, security interests, charges and other encumbrances of any kind or any other right of any third party (“</w:t>
      </w:r>
      <w:r>
        <w:rPr>
          <w:rStyle w:val="VEUnderline"/>
        </w:rPr>
        <w:t>Liens</w:t>
      </w:r>
      <w:r>
        <w:rPr/>
        <w:t xml:space="preserve">”) upon any of the assets of Kiodex, other than, the case of clauses (a), (c) and (d), any such violations, conflicts, breaches, defaults or Liens which individually or in the aggregate could not reasonably be expected to have a material adverse effect on the business, prospects, assets, condition (financial or otherwise) or results of operations of Kiodex and its subsidiaries taken as a whole.  </w:t>
      </w:r>
    </w:p>
    <w:p>
      <w:pPr>
        <w:pStyle w:val="VENumbered3"/>
        <w:numPr>
          <w:ilvl w:val="2"/>
          <w:numId w:val="7"/>
        </w:numPr>
        <w:ind w:hanging="0" w:start="0"/>
        <w:rPr/>
      </w:pPr>
      <w:r>
        <w:rPr>
          <w:b/>
          <w:bCs/>
          <w:i/>
          <w:iCs/>
        </w:rPr>
        <w:t>Authorization of Warrant Shares.</w:t>
      </w:r>
      <w:r>
        <w:rPr/>
        <w:t xml:space="preserve">  The issuance, sale and delivery by Kiodex of the Warrant Shares have been duly authorized by all requisite corporate action of Kiodex, and the Warrant Shares, when issued, sold and delivered upon exercise of the Warrant, will be validly issued and outstanding, fully paid and nonassessable, with no personal liability attaching to the ownership thereof (except as contemplated by this Agreement), and free and clear of any Liens imposed by or through Kiodex except as set forth in the Stockholders’ Agreement among Enron, Kiodex and the other parties thereto dated as of even date herewith (the “</w:t>
      </w:r>
      <w:r>
        <w:rPr>
          <w:rStyle w:val="VEUnderline"/>
        </w:rPr>
        <w:t>Stockholders’ Agreement</w:t>
      </w:r>
      <w:r>
        <w:rPr/>
        <w:t>”).</w:t>
      </w:r>
    </w:p>
    <w:p>
      <w:pPr>
        <w:pStyle w:val="VENumbered3"/>
        <w:numPr>
          <w:ilvl w:val="2"/>
          <w:numId w:val="7"/>
        </w:numPr>
        <w:ind w:hanging="0" w:start="0"/>
        <w:rPr/>
      </w:pPr>
      <w:r>
        <w:rPr>
          <w:b/>
          <w:bCs/>
          <w:i/>
          <w:iCs/>
        </w:rPr>
        <w:t>No Governmental Consent or Approval Required.</w:t>
      </w:r>
      <w:r>
        <w:rPr/>
        <w:t xml:space="preserve">  Subject to the accuracy of the representations and warranties of Enron set forth in </w:t>
      </w:r>
      <w:r>
        <w:rPr>
          <w:rStyle w:val="VEUnderline"/>
        </w:rPr>
        <w:t>Section 9.2</w:t>
      </w:r>
      <w:r>
        <w:rPr/>
        <w:t>, no authorization, consent, approval or other order of, declaration to, or filing with, any governmental agency or body or any other person is required for or in connection with the valid and lawful authorization, execution, delivery and performance by Kiodex of this Agreement and the Warrant, for or in connection with the valid and lawful authorization, issuance, sale and delivery of the Warrant and the Warrant Shares, other than filings pursuant to federal or state securities laws (all of which filings have been made by Kiodex, other than those which are required to be made after the Effective Date and which will be duly made on a timely basis) in connection with the sale of the Warrant.</w:t>
      </w:r>
    </w:p>
    <w:p>
      <w:pPr>
        <w:pStyle w:val="VENumbered3"/>
        <w:numPr>
          <w:ilvl w:val="2"/>
          <w:numId w:val="7"/>
        </w:numPr>
        <w:ind w:hanging="0" w:start="0"/>
        <w:rPr/>
      </w:pPr>
      <w:r>
        <w:rPr>
          <w:b/>
          <w:bCs/>
          <w:i/>
          <w:iCs/>
        </w:rPr>
        <w:t>Non-Infringement</w:t>
      </w:r>
      <w:r>
        <w:rPr/>
        <w:t>.  To the best of Kiodex’s knowledge, neither the Kiodex Lite Tool nor the Kiodex Application (excluding any Enron Data incorporated therein), nor Enron’s use of the Kiodex Application and the Kiodex Lite Tool as contemplated by this Agreement, infringe any Intellectual Property Rights of any third party.</w:t>
      </w:r>
    </w:p>
    <w:p>
      <w:pPr>
        <w:pStyle w:val="VENumbered2"/>
        <w:numPr>
          <w:ilvl w:val="1"/>
          <w:numId w:val="7"/>
        </w:numPr>
        <w:ind w:hanging="0" w:start="0"/>
        <w:rPr>
          <w:vanish/>
          <w:color w:val="0000FF"/>
        </w:rPr>
      </w:pPr>
      <w:bookmarkStart w:id="34" w:name="__RefHeading___Toc507407901"/>
      <w:bookmarkEnd w:id="34"/>
      <w:r>
        <w:rPr/>
        <w:t>Representations and Warranties by Enron</w:t>
      </w:r>
    </w:p>
    <w:p>
      <w:pPr>
        <w:pStyle w:val="VEBodyText2"/>
        <w:rPr/>
      </w:pPr>
      <w:r>
        <w:rPr/>
        <w:t>.  Enron represents and warrants to Kiodex that:</w:t>
      </w:r>
    </w:p>
    <w:p>
      <w:pPr>
        <w:pStyle w:val="VENumbered3"/>
        <w:numPr>
          <w:ilvl w:val="2"/>
          <w:numId w:val="7"/>
        </w:numPr>
        <w:ind w:hanging="0" w:start="0"/>
        <w:rPr/>
      </w:pPr>
      <w:r>
        <w:rPr>
          <w:b/>
          <w:bCs/>
          <w:i/>
          <w:iCs/>
        </w:rPr>
        <w:t xml:space="preserve">Power and Authority.  </w:t>
      </w:r>
      <w:r>
        <w:rPr/>
        <w:t>Enron has all requisite power and authority to carry out the transactions contemplated hereby, and the execution, delivery and performance by Enron of this Agreement have been duly authorized by all requisite corporate action respecting Enron.  This Agreement has been duly executed and delivered on behalf of Enron and constitutes the valid and binding obligation of Enron, enforceable against Enron in accordance with its terms, subject to (i) laws of general application relating to bankruptcy, insolvency, and the relief of debtors and (ii) rules of law governing specific performance, injunctive relief, or other equitable remedies.  The execution, delivery and performance of this Agreement and compliance with the provisions hereof by Enron, do not and will not, with or without the passage of time or the giving of notice or both, (a) violate any law, rule, statute, regulation or ruling, order or judgment of any court, administrative agency or other governmental entity applicable to Enron or any of its assets, (b) violate or conflict with any provision of its organizational documents as in effect on the Effective Date, (c) conflict with, result in a breach of, constitute a default under, result in the acceleration of, create in any party the right to accelerate, terminate, modify or cancel, or require any notice under any material contract to which Enron is a party or by which any of the assets of Enron are bound, or (d) result in the imposition of any Lien upon any of the assets of Enron, other than any such violations, conflicts, breaches, defaults or liens which individually or in the aggregate could not reasonably be expected to have a material adverse effect on the ability of Enron to perform its obligations under this Agreement.</w:t>
      </w:r>
    </w:p>
    <w:p>
      <w:pPr>
        <w:pStyle w:val="VENumbered3"/>
        <w:numPr>
          <w:ilvl w:val="2"/>
          <w:numId w:val="7"/>
        </w:numPr>
        <w:ind w:hanging="0" w:start="0"/>
        <w:rPr/>
      </w:pPr>
      <w:r>
        <w:rPr>
          <w:b/>
          <w:bCs/>
          <w:i/>
          <w:iCs/>
        </w:rPr>
        <w:t>Investment.</w:t>
      </w:r>
      <w:r>
        <w:rPr/>
        <w:t xml:space="preserve">  Enron is acquiring the Warrant for its own account, for investment and not for, with a view to, or in connection with the distribution thereof.</w:t>
      </w:r>
    </w:p>
    <w:p>
      <w:pPr>
        <w:pStyle w:val="VENumbered3"/>
        <w:numPr>
          <w:ilvl w:val="2"/>
          <w:numId w:val="7"/>
        </w:numPr>
        <w:ind w:hanging="0" w:start="0"/>
        <w:rPr/>
      </w:pPr>
      <w:r>
        <w:rPr>
          <w:b/>
          <w:bCs/>
          <w:i/>
          <w:iCs/>
        </w:rPr>
        <w:t>Access to Information</w:t>
      </w:r>
      <w:r>
        <w:rPr>
          <w:b/>
          <w:bCs/>
        </w:rPr>
        <w:t>.</w:t>
      </w:r>
      <w:r>
        <w:rPr/>
        <w:t xml:space="preserve">  Enron or its representatives during the course of this transaction, and prior to the purchase of the Warrant, has had the opportunity to ask questions of and receive answers from representatives of Kiodex concerning the terms and conditions of the offering of the Warrant, and to obtain any additional information, documents, records and books relative to Kiodex and its business, necessary to make an informed investment decision relative to the financial data and business of Kiodex.</w:t>
      </w:r>
    </w:p>
    <w:p>
      <w:pPr>
        <w:pStyle w:val="VENumbered3"/>
        <w:numPr>
          <w:ilvl w:val="2"/>
          <w:numId w:val="7"/>
        </w:numPr>
        <w:ind w:hanging="0" w:start="0"/>
        <w:rPr/>
      </w:pPr>
      <w:r>
        <w:rPr>
          <w:b/>
          <w:bCs/>
          <w:i/>
          <w:iCs/>
        </w:rPr>
        <w:t>General Access</w:t>
      </w:r>
      <w:r>
        <w:rPr/>
        <w:t>.  Enron or its representatives have received and read or reviewed, and are familiar with, this Agreement and confirm that all documents, records and books pertaining to Enron’s investment in Kiodex and requested by Enron or its representative have been made available or delivered to it.</w:t>
      </w:r>
    </w:p>
    <w:p>
      <w:pPr>
        <w:pStyle w:val="VENumbered3"/>
        <w:numPr>
          <w:ilvl w:val="2"/>
          <w:numId w:val="7"/>
        </w:numPr>
        <w:ind w:hanging="0" w:start="0"/>
        <w:rPr/>
      </w:pPr>
      <w:r>
        <w:rPr>
          <w:b/>
          <w:bCs/>
          <w:i/>
          <w:iCs/>
        </w:rPr>
        <w:t>Sophistication and Knowledge; Accredited Investor</w:t>
      </w:r>
      <w:r>
        <w:rPr/>
        <w:t>.  Enron (i) (A) has sufficient knowledge and experience in business and financial matters and with respect to investments in securities of privately held companies so as to enable it to analyze and evaluate the merits and risks of the investment contemplated hereby, and (B) is able to bear the economic risk of such investment, and (ii) is an “accredited investor” as that term is defined in Regulation D promulgated under the Securities Act.</w:t>
      </w:r>
    </w:p>
    <w:p>
      <w:pPr>
        <w:pStyle w:val="VENumbered3"/>
        <w:numPr>
          <w:ilvl w:val="2"/>
          <w:numId w:val="7"/>
        </w:numPr>
        <w:ind w:hanging="0" w:start="0"/>
        <w:rPr/>
      </w:pPr>
      <w:r>
        <w:rPr>
          <w:rStyle w:val="VEBoldItalic"/>
        </w:rPr>
        <w:t>Non-Infringement</w:t>
      </w:r>
      <w:r>
        <w:rPr/>
        <w:t>.  Enron represents and warrants to Kiodex that, to the best of Enron’s knowledge,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of any third party.</w:t>
      </w:r>
    </w:p>
    <w:p>
      <w:pPr>
        <w:pStyle w:val="VENumbered2"/>
        <w:numPr>
          <w:ilvl w:val="0"/>
          <w:numId w:val="0"/>
        </w:numPr>
        <w:ind w:firstLine="720" w:start="0" w:end="0"/>
        <w:rPr>
          <w:vanish/>
          <w:color w:val="0000FF"/>
        </w:rPr>
      </w:pPr>
      <w:bookmarkStart w:id="35" w:name="__RefHeading___Toc507407902"/>
      <w:bookmarkEnd w:id="35"/>
      <w:r>
        <w:rPr/>
        <w:t>9.3</w:t>
        <w:tab/>
        <w:t>Mutual Disclaimer of Representations and Warranties</w:t>
      </w:r>
    </w:p>
    <w:p>
      <w:pPr>
        <w:pStyle w:val="VEBodyText2"/>
        <w:rPr/>
      </w:pPr>
      <w:r>
        <w:rPr/>
        <w:t xml:space="preserve">.  THE ENRON DATA FEED, THE ENCRYPTED ENRON TRANSACTION DATA, CUSTOMER-SPECIFIC ENRON TRANSACTION DATA, AND ENRON MARKET DATA AND ACCESS TO THE ENRON WEB SITE ARE PROVIDED BY ENRON “AS IS.”  ENRON DOES NOT WARRANT THAT THE OPERATION OF THE ENRON DATA FEED OR ANY PART OF THE ENRON WEBSITE WILL BE UNINTERRUPTED OR ERROR-FREE.  THE KIODEX LITE TOOL ARE PROVIDED BY KIODEX “AS IS.”  KIODEX DOES NOT WARRANT THAT THE OPERATION OF THE KIODEX LITE TOOL WILL BE UNINTERRUPTED OR ERROR-FREE.  THE WARRANTIES SET FORTH IN THIS </w:t>
      </w:r>
      <w:r>
        <w:rPr>
          <w:rStyle w:val="VEUnderline"/>
        </w:rPr>
        <w:t>ARTICLE IX</w:t>
      </w:r>
      <w:r>
        <w:rPr/>
        <w:t xml:space="preserve"> ARE EXCLUSIVE AND IN LIEU OF ALL OTHER WARRANTIES, WHETHER EXPRESS OR IMPLIED, AND EACH PARTY HEREBY DISCLAIMS ALL IMPLIED OR STATUTORY WARRANTIES OF MERCHANTABILITY, FITNESS FOR A PARTICULAR PURPOSE, NONINFRINGEMENT AND TITLE ON ANY PRODUCT OR SERVICE PROVIDED HEREUNDER.  </w:t>
      </w:r>
    </w:p>
    <w:p>
      <w:pPr>
        <w:pStyle w:val="VENumbered1"/>
        <w:numPr>
          <w:ilvl w:val="0"/>
          <w:numId w:val="7"/>
        </w:numPr>
        <w:ind w:hanging="0" w:start="0"/>
        <w:rPr/>
      </w:pPr>
      <w:r>
        <w:rPr/>
        <w:t xml:space="preserve">OWNERSHIP OF INTELLECTUAL PROPERTY RIGHTS  </w:t>
      </w:r>
    </w:p>
    <w:p>
      <w:pPr>
        <w:pStyle w:val="VENumbered2"/>
        <w:numPr>
          <w:ilvl w:val="1"/>
          <w:numId w:val="7"/>
        </w:numPr>
        <w:ind w:hanging="0" w:start="0"/>
        <w:rPr>
          <w:vanish/>
          <w:color w:val="0000FF"/>
        </w:rPr>
      </w:pPr>
      <w:bookmarkStart w:id="36" w:name="__RefHeading___Toc507407904"/>
      <w:bookmarkEnd w:id="36"/>
      <w:r>
        <w:rPr/>
        <w:t>Kiodex Property</w:t>
      </w:r>
    </w:p>
    <w:p>
      <w:pPr>
        <w:pStyle w:val="VEBodyText2"/>
        <w:tabs>
          <w:tab w:val="clear" w:pos="720"/>
          <w:tab w:val="left" w:pos="900" w:leader="none"/>
        </w:tabs>
        <w:rPr/>
      </w:pPr>
      <w:r>
        <w:rPr/>
        <w:t xml:space="preserve">.  As between Enron and Kiodex, Kiodex shall retain all ownership rights (including any and all Intellectual Property Rights) in and to the Kiodex Application, the Kiodex Web Site, and the Kiodex Lite Tool, and no transfer of ownership or title (including any Intellectual Property Rights) is contemplated by or will result from this Agreement.  Enron is granted no rights in the Kiodex Lite Tool except those expressly set forth in this Agreement and Kiodex reserves all of its rights in and to the Kiodex Web Site, the Kiodex Lite Tool and the Kiodex Application.  At Kiodex’s request, Enron shall include Kiodex’s copyright notice, patent marking or other indicia of Kiodex’s ownership on any portion of the Kiodex Lite Tool that is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VENumbered2"/>
        <w:numPr>
          <w:ilvl w:val="1"/>
          <w:numId w:val="7"/>
        </w:numPr>
        <w:ind w:hanging="0" w:start="0"/>
        <w:rPr>
          <w:vanish/>
          <w:color w:val="0000FF"/>
        </w:rPr>
      </w:pPr>
      <w:bookmarkStart w:id="37" w:name="__RefHeading___Toc507407905"/>
      <w:bookmarkEnd w:id="37"/>
      <w:r>
        <w:rPr/>
        <w:t>Enron Property</w:t>
      </w:r>
    </w:p>
    <w:p>
      <w:pPr>
        <w:pStyle w:val="VEBodyText2"/>
        <w:rPr/>
      </w:pPr>
      <w:r>
        <w:rPr/>
        <w:t>.  As between Kiodex and Enron, Enron shall retain all ownership rights (including any and all Intellectual Property Rights) in and to any and all of the Enron Data and the Enron Web Site,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VENumbered1"/>
        <w:keepLines/>
        <w:numPr>
          <w:ilvl w:val="0"/>
          <w:numId w:val="7"/>
        </w:numPr>
        <w:ind w:hanging="0" w:start="0"/>
        <w:rPr/>
      </w:pPr>
      <w:r>
        <w:rPr/>
        <w:t>INDEMNIFICATION; LIMITATION OF LIABILITY</w:t>
      </w:r>
    </w:p>
    <w:p>
      <w:pPr>
        <w:pStyle w:val="VENumbered2"/>
        <w:keepNext w:val="true"/>
        <w:keepLines/>
        <w:numPr>
          <w:ilvl w:val="1"/>
          <w:numId w:val="7"/>
        </w:numPr>
        <w:ind w:hanging="0" w:start="0"/>
        <w:rPr/>
      </w:pPr>
      <w:bookmarkStart w:id="38" w:name="__RefHeading___Toc507407907"/>
      <w:bookmarkEnd w:id="38"/>
      <w:r>
        <w:rPr/>
        <w:t>Kiodex Infringement Indemnity.</w:t>
      </w:r>
    </w:p>
    <w:p>
      <w:pPr>
        <w:pStyle w:val="VENumbered3"/>
        <w:keepLines/>
        <w:numPr>
          <w:ilvl w:val="2"/>
          <w:numId w:val="7"/>
        </w:numPr>
        <w:ind w:hanging="0" w:start="0"/>
        <w:rPr/>
      </w:pPr>
      <w:r>
        <w:rPr/>
        <w:t>Kiodex shall indemnify and defend Enron and its Affiliates, members, partners, officers, directors, employees and agents (each, a “</w:t>
      </w:r>
      <w:r>
        <w:rPr>
          <w:rStyle w:val="VEUnderline"/>
        </w:rPr>
        <w:t>Enron Indemnitee</w:t>
      </w:r>
      <w:r>
        <w:rPr/>
        <w:t xml:space="preserve">”) from and against any third-party claim that the Kiodex Lite Tool or the Kiodex Application (excluding any Enron Data incorporated therein), or the Kiodex Web Site, infringes any Intellectual Property Right, and Kiodex will pay any liabilities, damages and expenses (including reasonable attorneys’ fees) attributable to such claims; provided that Kiodex will not be liable for any settlement by Enron without Kiodex’s prior consent, which consent shall not be unreasonably withheld or delayed. </w:t>
      </w:r>
    </w:p>
    <w:p>
      <w:pPr>
        <w:pStyle w:val="VENumbered3"/>
        <w:numPr>
          <w:ilvl w:val="2"/>
          <w:numId w:val="7"/>
        </w:numPr>
        <w:ind w:hanging="0" w:start="0"/>
        <w:rPr/>
      </w:pPr>
      <w:r>
        <w:rPr/>
        <w:t xml:space="preserve">Kiodex shall have no obligations under </w:t>
      </w:r>
      <w:r>
        <w:rPr>
          <w:rStyle w:val="VEUnderline"/>
        </w:rPr>
        <w:t>Section 11.1(a)</w:t>
      </w:r>
      <w:r>
        <w:rPr/>
        <w:t xml:space="preserve"> if either (i) the infringement is caused by the use of products supplied by a party other than Kiodex in combination with the Kiodex Lite Tool or the Kiodex Application; (ii) the infringement is caused by the modification of the Kiodex Lite Tool or the Kiodex Application by Enron; (iii) the infringement is caused by Kiodex’s compliance with a specification provided by Enron or its representative; or (iv) the infringement is caused by the use of other than the then current version of the Kiodex Lite Tool or the Kiodex Application. </w:t>
      </w:r>
    </w:p>
    <w:p>
      <w:pPr>
        <w:pStyle w:val="VENumbered3"/>
        <w:numPr>
          <w:ilvl w:val="2"/>
          <w:numId w:val="7"/>
        </w:numPr>
        <w:ind w:hanging="0" w:start="0"/>
        <w:rPr/>
      </w:pPr>
      <w:r>
        <w:rPr/>
        <w:t>If the Kiodex Lite Tool or the Kiodex Application is, or Kiodex believes is likely to become, subject to any claim of infringement, Kiodex shall have the option, at its expense, to (i) modify the Kiodex Lite Tool and/or the Kiodex Application to be non-infringing so long as the functionality of such product is not materially affected; or (ii) obtain for Enron a license to continue using the Kiodex Lite Tool.  If Kiodex does not elect either of the above options, then either party may terminate this Agreement.</w:t>
      </w:r>
    </w:p>
    <w:p>
      <w:pPr>
        <w:pStyle w:val="VENumbered2"/>
        <w:numPr>
          <w:ilvl w:val="1"/>
          <w:numId w:val="7"/>
        </w:numPr>
        <w:ind w:hanging="0" w:start="0"/>
        <w:rPr>
          <w:vanish/>
          <w:color w:val="0000FF"/>
        </w:rPr>
      </w:pPr>
      <w:bookmarkStart w:id="39" w:name="__RefHeading___Toc507407908"/>
      <w:bookmarkEnd w:id="39"/>
      <w:r>
        <w:rPr/>
        <w:t>Kiodex General Indemnity</w:t>
      </w:r>
    </w:p>
    <w:p>
      <w:pPr>
        <w:pStyle w:val="VEBodyText2"/>
        <w:rPr/>
      </w:pPr>
      <w:r>
        <w:rPr/>
        <w:t xml:space="preserve">.  Kiodex shall indemnify and defend Enron Indemnitees from and against any third party claims arising from or connected with (a) the breach of any representation or warranty expressly made by Kiodex hereunder, (b) the breach of any covenant or agreement made by Kiodex hereunder, (c) the use of the Kiodex Lite Tool, any Kiodex Application, any of the Enron Data, or (d) the use of any Derived Data, whether or not such Derived Data is contained in any report generated by Kiodex through the Kiodex Lite Tool or otherwise, except for claims which arise directly and solely from or relate directly and solely to breaches of Enron’s obligations under this Agreement, and Kiodex shall pay any liabilities, damages and expenses (including reasonable attorneys’ fees) attributable to such claims; provided that Kiodex will not be liable for any settlement by Enron without Kiodex’s prior consent, which consent shall not be unreasonably withheld or delayed.  </w:t>
      </w:r>
    </w:p>
    <w:p>
      <w:pPr>
        <w:pStyle w:val="VENumbered2"/>
        <w:numPr>
          <w:ilvl w:val="1"/>
          <w:numId w:val="7"/>
        </w:numPr>
        <w:ind w:hanging="0" w:start="0"/>
        <w:rPr>
          <w:vanish/>
          <w:color w:val="0000FF"/>
        </w:rPr>
      </w:pPr>
      <w:bookmarkStart w:id="40" w:name="__RefHeading___Toc507407909"/>
      <w:bookmarkEnd w:id="40"/>
      <w:r>
        <w:rPr/>
        <w:t>Enron Indemnity</w:t>
      </w:r>
    </w:p>
    <w:p>
      <w:pPr>
        <w:pStyle w:val="VEBodyText2"/>
        <w:rPr/>
      </w:pPr>
      <w:r>
        <w:rPr/>
        <w:t>.  Enron shall indemnify and defend Kiodex and its affiliates, officers, directors, employees and agents (each, a “</w:t>
      </w:r>
      <w:r>
        <w:rPr>
          <w:rStyle w:val="VEUnderline"/>
        </w:rPr>
        <w:t>Kiodex Indemnitee</w:t>
      </w:r>
      <w:r>
        <w:rPr/>
        <w:t xml:space="preserve">”)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and Enron shall pay any liabilities, damages and expenses (including reasonable attorneys’ fees) attributable to any such claims; provided that Enron will not be liable for any settlement by Kiodex without Enron’s prior consent, which consent shall not be unreasonably withheld or delayed.  </w:t>
      </w:r>
    </w:p>
    <w:p>
      <w:pPr>
        <w:pStyle w:val="VENumbered2"/>
        <w:numPr>
          <w:ilvl w:val="1"/>
          <w:numId w:val="7"/>
        </w:numPr>
        <w:ind w:hanging="0" w:start="0"/>
        <w:rPr/>
      </w:pPr>
      <w:bookmarkStart w:id="41" w:name="__RefHeading___Toc507407910"/>
      <w:r>
        <w:rPr/>
        <w:t>Limitations of Liability.</w:t>
      </w:r>
      <w:bookmarkEnd w:id="41"/>
      <w:r>
        <w:rPr/>
        <w:t xml:space="preserve">  </w:t>
      </w:r>
    </w:p>
    <w:p>
      <w:pPr>
        <w:pStyle w:val="VENumbered3"/>
        <w:numPr>
          <w:ilvl w:val="2"/>
          <w:numId w:val="7"/>
        </w:numPr>
        <w:ind w:hanging="0" w:start="0"/>
        <w:rPr/>
      </w:pPr>
      <w:r>
        <w:rPr/>
        <w:t xml:space="preserve">SUBJECT TO THE EXCEPTIONS SET FORTH IN </w:t>
      </w:r>
      <w:r>
        <w:rPr>
          <w:rStyle w:val="VEUnderline"/>
        </w:rPr>
        <w:t>SECTION 11.4(D)</w:t>
      </w:r>
      <w:r>
        <w:rPr/>
        <w:t xml:space="preserve"> BELOW, IN NO EVENT WILL ANY OF ENRON, KIODEX, OR THEIR RESPECTIVE AFFILIATES, EMPLOYEES, OFFICERS, DIRECTORS, AGENTS OR REPRESENTATIVES, BE LIABLE TO ANY OTHER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THE KIODEX APPLICATION, OR ANY DATA PROVIDED BY ENRON, OR AS A RESULT OF OR ARISING OUT OF USING, ACCESSING, DEACTIVATING OR ATTEMPTING TO ACCESS THE KIODEX LITE TOOL, THE KIODEX APPLICATION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VENumbered3"/>
        <w:numPr>
          <w:ilvl w:val="2"/>
          <w:numId w:val="7"/>
        </w:numPr>
        <w:ind w:hanging="0" w:start="0"/>
        <w:rPr/>
      </w:pPr>
      <w:r>
        <w:rPr/>
        <w:t xml:space="preserve">SUBJECT TO THE EXCEPTIONS SET FORTH IN </w:t>
      </w:r>
      <w:r>
        <w:rPr>
          <w:rStyle w:val="VEUnderline"/>
        </w:rPr>
        <w:t>SECTION 11.4(D)</w:t>
      </w:r>
      <w:r>
        <w:rPr/>
        <w:t xml:space="preserve"> BELOW, KIODEX’S LIABILITY FOR DAMAGES HEREUNDER SHALL IN NO EVENT EXCEED $______________________________.  If any damages result from Enron’s use of the Kiodex Lite Tool or Derived Data, such liability shall be as limited in the applicable Kiodex Customer Agreement.</w:t>
      </w:r>
    </w:p>
    <w:p>
      <w:pPr>
        <w:pStyle w:val="VENumbered3"/>
        <w:numPr>
          <w:ilvl w:val="2"/>
          <w:numId w:val="7"/>
        </w:numPr>
        <w:ind w:hanging="0" w:start="0"/>
        <w:rPr/>
      </w:pPr>
      <w:r>
        <w:rPr/>
        <w:t xml:space="preserve">SUBJECT TO THE EXCEPTIONS SET FORTH IN </w:t>
      </w:r>
      <w:r>
        <w:rPr>
          <w:rStyle w:val="VEUnderline"/>
        </w:rPr>
        <w:t>SECTION 11.4(D)</w:t>
      </w:r>
      <w:r>
        <w:rPr/>
        <w:t xml:space="preserve"> BELOW, ENRON’S LIABILITY FOR DAMAGES HEREUNDER SHALL IN NO EVENT EXCEED $______________________________.  </w:t>
      </w:r>
    </w:p>
    <w:p>
      <w:pPr>
        <w:pStyle w:val="VENumbered3"/>
        <w:numPr>
          <w:ilvl w:val="2"/>
          <w:numId w:val="7"/>
        </w:numPr>
        <w:ind w:hanging="0" w:start="0"/>
        <w:rPr/>
      </w:pPr>
      <w:r>
        <w:rPr/>
        <w:t xml:space="preserve">The limitations set forth in this </w:t>
      </w:r>
      <w:r>
        <w:rPr>
          <w:rStyle w:val="VEUnderline"/>
        </w:rPr>
        <w:t>Section 11.4</w:t>
      </w:r>
      <w:r>
        <w:rPr/>
        <w:t xml:space="preserve"> shall not apply to any of the following:</w:t>
      </w:r>
    </w:p>
    <w:p>
      <w:pPr>
        <w:pStyle w:val="VENumbered4"/>
        <w:numPr>
          <w:ilvl w:val="3"/>
          <w:numId w:val="7"/>
        </w:numPr>
        <w:ind w:hanging="0" w:start="0"/>
        <w:rPr/>
      </w:pPr>
      <w:r>
        <w:rPr/>
        <w:t xml:space="preserve">A deliberate and willful breach of the obligations of nondisclosure and nonuse as set forth in </w:t>
      </w:r>
      <w:r>
        <w:rPr>
          <w:rStyle w:val="VEUnderline"/>
        </w:rPr>
        <w:t>Section 12.2</w:t>
      </w:r>
      <w:r>
        <w:rPr/>
        <w:t>;</w:t>
      </w:r>
    </w:p>
    <w:p>
      <w:pPr>
        <w:pStyle w:val="VENumbered4"/>
        <w:numPr>
          <w:ilvl w:val="3"/>
          <w:numId w:val="7"/>
        </w:numPr>
        <w:ind w:hanging="0" w:start="0"/>
        <w:rPr/>
      </w:pPr>
      <w:r>
        <w:rPr/>
        <w:t xml:space="preserve">Any liability relating to claims by third parties other than Enron, Kiodex or their respective Affiliates to the extent covered by the indemnities set forth in </w:t>
      </w:r>
      <w:r>
        <w:rPr>
          <w:rStyle w:val="VEUnderline"/>
        </w:rPr>
        <w:t>Article XI</w:t>
      </w:r>
      <w:r>
        <w:rPr/>
        <w:t xml:space="preserve">;  or </w:t>
      </w:r>
    </w:p>
    <w:p>
      <w:pPr>
        <w:pStyle w:val="VENumbered4"/>
        <w:numPr>
          <w:ilvl w:val="3"/>
          <w:numId w:val="7"/>
        </w:numPr>
        <w:ind w:hanging="0" w:start="0"/>
        <w:rPr/>
      </w:pPr>
      <w:r>
        <w:rPr/>
        <w:t>Any claims relating to the breach of Kiodex’s obligations relating to the restrictions on use of any of the Enron Data.</w:t>
      </w:r>
    </w:p>
    <w:p>
      <w:pPr>
        <w:pStyle w:val="VENumbered1"/>
        <w:numPr>
          <w:ilvl w:val="0"/>
          <w:numId w:val="7"/>
        </w:numPr>
        <w:ind w:hanging="0" w:start="0"/>
        <w:rPr/>
      </w:pPr>
      <w:r>
        <w:rPr/>
        <w:t>OTHER PROVISIONS</w:t>
      </w:r>
    </w:p>
    <w:p>
      <w:pPr>
        <w:pStyle w:val="VENumbered2"/>
        <w:numPr>
          <w:ilvl w:val="1"/>
          <w:numId w:val="7"/>
        </w:numPr>
        <w:ind w:hanging="0" w:start="0"/>
        <w:rPr>
          <w:vanish/>
          <w:color w:val="0000FF"/>
        </w:rPr>
      </w:pPr>
      <w:bookmarkStart w:id="42" w:name="__RefHeading___Toc507407912"/>
      <w:bookmarkEnd w:id="42"/>
      <w:r>
        <w:rPr/>
        <w:t>Survival</w:t>
      </w:r>
    </w:p>
    <w:p>
      <w:pPr>
        <w:pStyle w:val="VEBodyTextFLI"/>
        <w:rPr/>
      </w:pPr>
      <w:r>
        <w:rPr/>
        <w:t xml:space="preserve">. The provisions of </w:t>
      </w:r>
      <w:r>
        <w:rPr>
          <w:rStyle w:val="VEUnderline"/>
        </w:rPr>
        <w:t>Articles X and XI</w:t>
      </w:r>
      <w:r>
        <w:rPr/>
        <w:t xml:space="preserve">, and of </w:t>
      </w:r>
      <w:r>
        <w:rPr>
          <w:rStyle w:val="VEUnderline"/>
        </w:rPr>
        <w:t>Sections 7.4, 8.4, 9.2(c), 9.3, 12.2, 12.12, and 12.13,</w:t>
      </w:r>
      <w:r>
        <w:rPr/>
        <w:t xml:space="preserve"> shall survive the termination or expiration of this Agreement, and shall continue in effect and inure to the benefit of and be binding upon the parties, including their legal representatives, heirs, successors and permitted assigns.</w:t>
      </w:r>
    </w:p>
    <w:p>
      <w:pPr>
        <w:pStyle w:val="VENumbered2"/>
        <w:numPr>
          <w:ilvl w:val="1"/>
          <w:numId w:val="7"/>
        </w:numPr>
        <w:ind w:hanging="0" w:start="0"/>
        <w:rPr/>
      </w:pPr>
      <w:bookmarkStart w:id="43" w:name="__RefHeading___Toc507407913"/>
      <w:bookmarkEnd w:id="43"/>
      <w:r>
        <w:rPr/>
        <w:t>Confidentiality.</w:t>
      </w:r>
    </w:p>
    <w:p>
      <w:pPr>
        <w:pStyle w:val="VENumbered3"/>
        <w:numPr>
          <w:ilvl w:val="2"/>
          <w:numId w:val="7"/>
        </w:numPr>
        <w:ind w:hanging="0" w:start="0"/>
        <w:rPr/>
      </w:pPr>
      <w:r>
        <w:rPr/>
        <w:t>The parties acknowledge and agree that by virtue of this Agreement, the parties may have access to information that is confidential to the other party (“</w:t>
      </w:r>
      <w:r>
        <w:rPr>
          <w:rStyle w:val="VEUnderline"/>
        </w:rPr>
        <w:t>Confidential Information</w:t>
      </w:r>
      <w:r>
        <w:rPr/>
        <w:t>”).  Confidential Information shall include the Enron Data,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w:t>
      </w:r>
      <w:r>
        <w:rPr>
          <w:rStyle w:val="VEUnderline"/>
        </w:rPr>
        <w:t>Permitted Recipients</w:t>
      </w:r>
      <w:r>
        <w:rPr/>
        <w:t>”) as necessary for the implementation of this Agreement and so long as the Permitted Recipients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contemporaneously of such disclosure.</w:t>
      </w:r>
    </w:p>
    <w:p>
      <w:pPr>
        <w:pStyle w:val="VENumbered3"/>
        <w:numPr>
          <w:ilvl w:val="2"/>
          <w:numId w:val="7"/>
        </w:numPr>
        <w:ind w:hanging="0" w:start="0"/>
        <w:rPr/>
      </w:pPr>
      <w:r>
        <w:rPr/>
        <w:t>Immediately upon the termination of this Agreement for any reason, each party shall: (a) stop using the Confidential Information of the other party then in its possession or under its control; (b) in the case of Enron Data, delete such Enron Data from the Kiodex Systems; and (c) at the option of the other party, either destroy or return to such other party all such Confidential Information in tangible form and all copies thereof, and certify in writing that the foregoing has been done.</w:t>
      </w:r>
    </w:p>
    <w:p>
      <w:pPr>
        <w:pStyle w:val="VENumbered3"/>
        <w:numPr>
          <w:ilvl w:val="2"/>
          <w:numId w:val="7"/>
        </w:numPr>
        <w:ind w:hanging="0" w:start="0"/>
        <w:rPr/>
      </w:pPr>
      <w:r>
        <w:rPr/>
        <w:t>Immediately upon the termination of any Kiodex Customer Agreement, Kiodex shall: (a) stop using the Encrypted Enron Transaction Data, Customer-Specific Enron Transaction Data, and Enron Market Data related to that particular Kiodex Customer then in its possession or under its control and delete such data from the Kiodex Systems; and (b) at Enron’s option, either destroy or return to such Enron all other Confidential Information in tangible form and all copies thereof, and certify in writing that the foregoing has been done.</w:t>
      </w:r>
    </w:p>
    <w:p>
      <w:pPr>
        <w:pStyle w:val="VENumbered2"/>
        <w:numPr>
          <w:ilvl w:val="1"/>
          <w:numId w:val="7"/>
        </w:numPr>
        <w:ind w:hanging="0" w:start="0"/>
        <w:rPr>
          <w:vanish/>
          <w:color w:val="0000FF"/>
        </w:rPr>
      </w:pPr>
      <w:bookmarkStart w:id="44" w:name="__RefHeading___Toc507407914"/>
      <w:bookmarkEnd w:id="44"/>
      <w:r>
        <w:rPr/>
        <w:t>Costs</w:t>
      </w:r>
    </w:p>
    <w:p>
      <w:pPr>
        <w:pStyle w:val="VEBodyText2"/>
        <w:rPr/>
      </w:pPr>
      <w:r>
        <w:rPr/>
        <w:t>.  Unless expressly provided herein otherwise, each party will be responsible for all costs and expenses associated with the set-up, operation and maintenance of its respective web site and systems and the performance of its obligations hereunder.</w:t>
      </w:r>
    </w:p>
    <w:p>
      <w:pPr>
        <w:pStyle w:val="VENumbered2"/>
        <w:numPr>
          <w:ilvl w:val="1"/>
          <w:numId w:val="7"/>
        </w:numPr>
        <w:ind w:hanging="0" w:start="0"/>
        <w:rPr>
          <w:vanish/>
          <w:color w:val="0000FF"/>
        </w:rPr>
      </w:pPr>
      <w:bookmarkStart w:id="45" w:name="__RefHeading___Toc507407915"/>
      <w:bookmarkEnd w:id="45"/>
      <w:r>
        <w:rPr/>
        <w:t>Notices</w:t>
      </w:r>
    </w:p>
    <w:p>
      <w:pPr>
        <w:pStyle w:val="VEBodyText"/>
        <w:rPr/>
      </w:pP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VENumbered3"/>
        <w:numPr>
          <w:ilvl w:val="2"/>
          <w:numId w:val="7"/>
        </w:numPr>
        <w:ind w:hanging="0" w:start="0"/>
        <w:rPr/>
      </w:pPr>
      <w:r>
        <w:rPr/>
        <w:t>if to Kiodex, to:</w:t>
      </w:r>
    </w:p>
    <w:p>
      <w:pPr>
        <w:pStyle w:val="VEBodyTextNoSpace"/>
        <w:ind w:start="2160" w:end="0"/>
        <w:rPr/>
      </w:pPr>
      <w:r>
        <w:rPr/>
        <w:t>Kiodex, Inc.</w:t>
      </w:r>
    </w:p>
    <w:p>
      <w:pPr>
        <w:pStyle w:val="VEBodyTextNoSpace"/>
        <w:ind w:start="2160" w:end="0"/>
        <w:rPr/>
      </w:pPr>
      <w:r>
        <w:rPr/>
        <w:t>3 New York Plaza, 15th Floor</w:t>
      </w:r>
    </w:p>
    <w:p>
      <w:pPr>
        <w:pStyle w:val="VEBodyTextNoSpace"/>
        <w:ind w:start="2160" w:end="0"/>
        <w:rPr/>
      </w:pPr>
      <w:r>
        <w:rPr/>
        <w:t>New York, NY</w:t>
      </w:r>
    </w:p>
    <w:p>
      <w:pPr>
        <w:pStyle w:val="VEBodyTextNoSpace"/>
        <w:ind w:start="2160" w:end="0"/>
        <w:rPr/>
      </w:pPr>
      <w:r>
        <w:rPr/>
        <w:t>Attention:  General Counsel</w:t>
      </w:r>
    </w:p>
    <w:p>
      <w:pPr>
        <w:pStyle w:val="VEBodyText"/>
        <w:ind w:firstLine="720" w:start="1440" w:end="0"/>
        <w:rPr/>
      </w:pPr>
      <w:r>
        <w:rPr/>
        <w:t>Facsimile:  646-437-3910</w:t>
      </w:r>
    </w:p>
    <w:p>
      <w:pPr>
        <w:pStyle w:val="VEBodyText"/>
        <w:ind w:firstLine="720" w:start="720" w:end="0"/>
        <w:rPr/>
      </w:pPr>
      <w:r>
        <w:rPr/>
        <w:tab/>
        <w:t>with a copy to:</w:t>
      </w:r>
    </w:p>
    <w:p>
      <w:pPr>
        <w:pStyle w:val="VEBodyTextNoSpace"/>
        <w:ind w:start="2160" w:end="0"/>
        <w:rPr/>
      </w:pPr>
      <w:r>
        <w:rPr/>
        <w:t>John Kennedy, Esq.</w:t>
      </w:r>
    </w:p>
    <w:p>
      <w:pPr>
        <w:pStyle w:val="VEBodyTextNoSpace"/>
        <w:ind w:start="2160" w:end="0"/>
        <w:rPr/>
      </w:pPr>
      <w:r>
        <w:rPr/>
        <w:t>Morrison &amp; Foerster LLP</w:t>
      </w:r>
    </w:p>
    <w:p>
      <w:pPr>
        <w:pStyle w:val="VEBodyTextNoSpace"/>
        <w:ind w:start="2160" w:end="0"/>
        <w:rPr/>
      </w:pPr>
      <w:r>
        <w:rPr/>
        <w:t>1290 Avenue of the Americas</w:t>
      </w:r>
    </w:p>
    <w:p>
      <w:pPr>
        <w:pStyle w:val="VEBodyTextNoSpace"/>
        <w:ind w:start="2160" w:end="0"/>
        <w:rPr/>
      </w:pPr>
      <w:r>
        <w:rPr/>
        <w:t>New York, NY  10104</w:t>
      </w:r>
    </w:p>
    <w:p>
      <w:pPr>
        <w:pStyle w:val="VEBodyText"/>
        <w:ind w:firstLine="720" w:start="1440" w:end="0"/>
        <w:rPr/>
      </w:pPr>
      <w:r>
        <w:rPr/>
        <w:t>Facsimile: (212) 468-7900</w:t>
      </w:r>
    </w:p>
    <w:p>
      <w:pPr>
        <w:pStyle w:val="VENumbered3"/>
        <w:numPr>
          <w:ilvl w:val="2"/>
          <w:numId w:val="7"/>
        </w:numPr>
        <w:ind w:hanging="0" w:start="0"/>
        <w:rPr/>
      </w:pPr>
      <w:r>
        <w:rPr/>
        <w:t>if to Enron, to:</w:t>
      </w:r>
    </w:p>
    <w:p>
      <w:pPr>
        <w:pStyle w:val="VEBodyTextNoSpace"/>
        <w:ind w:start="2160" w:end="0"/>
        <w:rPr/>
      </w:pPr>
      <w:r>
        <w:rPr/>
        <w:t>Enron Net Works LLC</w:t>
      </w:r>
    </w:p>
    <w:p>
      <w:pPr>
        <w:pStyle w:val="VEBodyTextNoSpace"/>
        <w:ind w:start="2160" w:end="0"/>
        <w:rPr/>
      </w:pPr>
      <w:r>
        <w:rPr/>
        <w:t>780 Third Avenue</w:t>
      </w:r>
    </w:p>
    <w:p>
      <w:pPr>
        <w:pStyle w:val="VEBodyTextNoSpace"/>
        <w:ind w:start="2160" w:end="0"/>
        <w:rPr/>
      </w:pPr>
      <w:r>
        <w:rPr/>
        <w:t>25</w:t>
      </w:r>
      <w:r>
        <w:rPr>
          <w:vertAlign w:val="superscript"/>
        </w:rPr>
        <w:t>th</w:t>
      </w:r>
      <w:r>
        <w:rPr/>
        <w:t xml:space="preserve"> Floor</w:t>
        <w:tab/>
        <w:tab/>
      </w:r>
    </w:p>
    <w:p>
      <w:pPr>
        <w:pStyle w:val="VEBodyTextNoSpace"/>
        <w:ind w:start="2160" w:end="0"/>
        <w:rPr/>
      </w:pPr>
      <w:r>
        <w:rPr/>
        <w:t>New York, New York 10017</w:t>
      </w:r>
    </w:p>
    <w:p>
      <w:pPr>
        <w:pStyle w:val="VEBodyTextNoSpace"/>
        <w:ind w:start="2160" w:end="0"/>
        <w:rPr/>
      </w:pPr>
      <w:r>
        <w:rPr/>
        <w:t>Attn:</w:t>
        <w:tab/>
        <w:t>Jay Fitzgerald</w:t>
      </w:r>
    </w:p>
    <w:p>
      <w:pPr>
        <w:pStyle w:val="VEBodyTextNoSpace"/>
        <w:ind w:start="2160" w:end="0"/>
        <w:rPr/>
      </w:pPr>
      <w:r>
        <w:rPr/>
        <w:t>Telephone:  (212) 702-3934</w:t>
      </w:r>
    </w:p>
    <w:p>
      <w:pPr>
        <w:pStyle w:val="VEBodyText"/>
        <w:ind w:firstLine="720" w:start="1440" w:end="0"/>
        <w:rPr/>
      </w:pPr>
      <w:r>
        <w:rPr/>
        <w:t>Facsimile:  (212) 702-3950</w:t>
      </w:r>
    </w:p>
    <w:p>
      <w:pPr>
        <w:pStyle w:val="VEBodyText"/>
        <w:ind w:firstLine="720" w:start="1440" w:end="0"/>
        <w:rPr/>
      </w:pPr>
      <w:r>
        <w:rPr/>
        <w:t>with a copy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VENumbered2"/>
        <w:numPr>
          <w:ilvl w:val="1"/>
          <w:numId w:val="7"/>
        </w:numPr>
        <w:ind w:hanging="0" w:start="0"/>
        <w:rPr>
          <w:vanish/>
          <w:color w:val="0000FF"/>
        </w:rPr>
      </w:pPr>
      <w:bookmarkStart w:id="46" w:name="__RefHeading___Toc507407916"/>
      <w:bookmarkEnd w:id="46"/>
      <w:r>
        <w:rPr/>
        <w:t>Entire Agreement</w:t>
      </w:r>
    </w:p>
    <w:p>
      <w:pPr>
        <w:pStyle w:val="VEBodyText2"/>
        <w:rPr/>
      </w:pPr>
      <w:r>
        <w:rPr/>
        <w:t>.  This Agreement, its Exhibits,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VENumbered2"/>
        <w:numPr>
          <w:ilvl w:val="1"/>
          <w:numId w:val="7"/>
        </w:numPr>
        <w:ind w:hanging="0" w:start="0"/>
        <w:rPr>
          <w:vanish/>
          <w:color w:val="0000FF"/>
        </w:rPr>
      </w:pPr>
      <w:bookmarkStart w:id="47" w:name="__RefHeading___Toc507407917"/>
      <w:bookmarkEnd w:id="47"/>
      <w:r>
        <w:rPr/>
        <w:t>Severability</w:t>
      </w:r>
    </w:p>
    <w:p>
      <w:pPr>
        <w:pStyle w:val="VEBodyText2"/>
        <w:rPr/>
      </w:pP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VENumbered2"/>
        <w:numPr>
          <w:ilvl w:val="1"/>
          <w:numId w:val="7"/>
        </w:numPr>
        <w:ind w:hanging="0" w:start="0"/>
        <w:rPr>
          <w:vanish/>
          <w:color w:val="0000FF"/>
        </w:rPr>
      </w:pPr>
      <w:bookmarkStart w:id="48" w:name="__RefHeading___Toc507407918"/>
      <w:bookmarkEnd w:id="48"/>
      <w:r>
        <w:rPr/>
        <w:t>Relationship of the Parties</w:t>
      </w:r>
    </w:p>
    <w:p>
      <w:pPr>
        <w:pStyle w:val="VEBodyText2"/>
        <w:rPr/>
      </w:pP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VENumbered2"/>
        <w:numPr>
          <w:ilvl w:val="1"/>
          <w:numId w:val="7"/>
        </w:numPr>
        <w:ind w:hanging="0" w:start="0"/>
        <w:rPr>
          <w:vanish/>
          <w:color w:val="0000FF"/>
        </w:rPr>
      </w:pPr>
      <w:bookmarkStart w:id="49" w:name="__RefHeading___Toc507407919"/>
      <w:bookmarkEnd w:id="49"/>
      <w:r>
        <w:rPr/>
        <w:t>Counterparts</w:t>
      </w:r>
    </w:p>
    <w:p>
      <w:pPr>
        <w:pStyle w:val="VEBodyText2"/>
        <w:rPr/>
      </w:pPr>
      <w:r>
        <w:rPr/>
        <w:t>.  This Agreement may be executed in any number of counterparts, each such counterpart shall be deemed to be an original instrument, and all such counterparts together shall constitute but one agreement.</w:t>
      </w:r>
    </w:p>
    <w:p>
      <w:pPr>
        <w:pStyle w:val="VENumbered2"/>
        <w:numPr>
          <w:ilvl w:val="1"/>
          <w:numId w:val="7"/>
        </w:numPr>
        <w:ind w:hanging="0" w:start="0"/>
        <w:rPr>
          <w:vanish/>
          <w:color w:val="0000FF"/>
        </w:rPr>
      </w:pPr>
      <w:bookmarkStart w:id="50" w:name="__RefHeading___Toc507407920"/>
      <w:bookmarkEnd w:id="50"/>
      <w:r>
        <w:rPr/>
        <w:t>Binding Effect</w:t>
      </w:r>
    </w:p>
    <w:p>
      <w:pPr>
        <w:pStyle w:val="VEBodyText2"/>
        <w:rPr/>
      </w:pPr>
      <w:r>
        <w:rPr/>
        <w:t>.  This Agreement shall be binding upon and shall inure to the benefit of the respective heirs, executors, administrators, legal representatives, successors and assigns of the parties hereto.</w:t>
      </w:r>
    </w:p>
    <w:p>
      <w:pPr>
        <w:pStyle w:val="VENumbered2"/>
        <w:numPr>
          <w:ilvl w:val="1"/>
          <w:numId w:val="7"/>
        </w:numPr>
        <w:ind w:hanging="0" w:start="0"/>
        <w:rPr>
          <w:vanish/>
          <w:color w:val="0000FF"/>
        </w:rPr>
      </w:pPr>
      <w:bookmarkStart w:id="51" w:name="__RefHeading___Toc507407921"/>
      <w:bookmarkEnd w:id="51"/>
      <w:r>
        <w:rPr/>
        <w:t>Assignment</w:t>
      </w:r>
    </w:p>
    <w:p>
      <w:pPr>
        <w:pStyle w:val="VEBodyText2"/>
        <w:rPr/>
      </w:pPr>
      <w:r>
        <w:rPr/>
        <w:t>.  Neither party may assign this Agreement without the prior written consent of the other party, which consent shall not be unreasonably denied or withheld, except that Enron may assign this Agreement to any Affiliate of Enron.</w:t>
      </w:r>
    </w:p>
    <w:p>
      <w:pPr>
        <w:pStyle w:val="VENumbered2"/>
        <w:numPr>
          <w:ilvl w:val="1"/>
          <w:numId w:val="7"/>
        </w:numPr>
        <w:ind w:hanging="0" w:start="0"/>
        <w:rPr>
          <w:vanish/>
          <w:color w:val="0000FF"/>
        </w:rPr>
      </w:pPr>
      <w:bookmarkStart w:id="52" w:name="__RefHeading___Toc507407922"/>
      <w:bookmarkEnd w:id="52"/>
      <w:r>
        <w:rPr/>
        <w:t>Amendments; Waivers</w:t>
      </w:r>
    </w:p>
    <w:p>
      <w:pPr>
        <w:pStyle w:val="VEBodyText2"/>
        <w:rPr/>
      </w:pP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VENumbered2"/>
        <w:numPr>
          <w:ilvl w:val="1"/>
          <w:numId w:val="7"/>
        </w:numPr>
        <w:ind w:hanging="0" w:start="0"/>
        <w:rPr>
          <w:vanish/>
          <w:color w:val="0000FF"/>
        </w:rPr>
      </w:pPr>
      <w:bookmarkStart w:id="53" w:name="__RefHeading___Toc507407923"/>
      <w:bookmarkEnd w:id="53"/>
      <w:r>
        <w:rPr/>
        <w:t>Arbitration</w:t>
      </w:r>
    </w:p>
    <w:p>
      <w:pPr>
        <w:pStyle w:val="VEBodyText2"/>
        <w:rPr/>
      </w:pPr>
      <w:r>
        <w:rPr/>
        <w:t>.  If a dispute between the parties arises out of or in connection with this Agreement, then either party may refer such dispute to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VENumbered3"/>
        <w:numPr>
          <w:ilvl w:val="2"/>
          <w:numId w:val="7"/>
        </w:numPr>
        <w:ind w:hanging="0" w:start="0"/>
        <w:rPr/>
      </w:pPr>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a panel of three arbitrators.  If on or before the 15th day following receipt of the Arbitration Notice they have not so agreed on the three arbitrators, then the Referring Party and the Non-Referring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rStyle w:val="VEUnderline"/>
        </w:rPr>
        <w:t>AAA</w:t>
      </w:r>
      <w:r>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VENumbered3"/>
        <w:numPr>
          <w:ilvl w:val="2"/>
          <w:numId w:val="7"/>
        </w:numPr>
        <w:ind w:hanging="0" w:start="0"/>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 against either or both parties.  However, each party shall bear its own attorneys fees and the arbitrators shall have no authority to award attorneys fees.</w:t>
      </w:r>
    </w:p>
    <w:p>
      <w:pPr>
        <w:pStyle w:val="VENumbered3"/>
        <w:numPr>
          <w:ilvl w:val="2"/>
          <w:numId w:val="7"/>
        </w:numPr>
        <w:ind w:hanging="0" w:start="0"/>
        <w:rPr/>
      </w:pPr>
      <w:r>
        <w:rPr/>
        <w:t>The arbitration shall be conducted in New York, New York,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VENumbered3"/>
        <w:numPr>
          <w:ilvl w:val="2"/>
          <w:numId w:val="7"/>
        </w:numPr>
        <w:ind w:hanging="0" w:start="0"/>
        <w:rPr/>
      </w:pPr>
      <w:r>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arbitrator(s) shall be final and binding on the parties and non-appealable to the maximum extent permitted by law.</w:t>
      </w:r>
    </w:p>
    <w:p>
      <w:pPr>
        <w:pStyle w:val="VENumbered3"/>
        <w:numPr>
          <w:ilvl w:val="2"/>
          <w:numId w:val="7"/>
        </w:numPr>
        <w:ind w:hanging="0" w:start="0"/>
        <w:rPr/>
      </w:pPr>
      <w:r>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p>
    <w:p>
      <w:pPr>
        <w:pStyle w:val="VENumbered2"/>
        <w:numPr>
          <w:ilvl w:val="1"/>
          <w:numId w:val="7"/>
        </w:numPr>
        <w:ind w:hanging="0" w:start="0"/>
        <w:rPr>
          <w:vanish/>
          <w:color w:val="0000FF"/>
        </w:rPr>
      </w:pPr>
      <w:bookmarkStart w:id="54" w:name="__RefHeading___Toc507407924"/>
      <w:bookmarkEnd w:id="54"/>
      <w:r>
        <w:rPr/>
        <w:t>Injunctive Relief</w:t>
      </w:r>
    </w:p>
    <w:p>
      <w:pPr>
        <w:pStyle w:val="VEBodyText2"/>
        <w:rPr/>
      </w:pPr>
      <w:r>
        <w:rPr/>
        <w:t>.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a temporary restraining order and a permanent injunction against the other party.</w:t>
      </w:r>
    </w:p>
    <w:p>
      <w:pPr>
        <w:pStyle w:val="VENumbered2"/>
        <w:numPr>
          <w:ilvl w:val="1"/>
          <w:numId w:val="7"/>
        </w:numPr>
        <w:ind w:hanging="0" w:start="0"/>
        <w:rPr/>
      </w:pPr>
      <w:bookmarkStart w:id="55" w:name="__RefHeading___Toc507407925"/>
      <w:bookmarkEnd w:id="55"/>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12.4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sectPr>
          <w:headerReference w:type="default" r:id="rId10"/>
          <w:headerReference w:type="first" r:id="rId11"/>
          <w:footerReference w:type="default" r:id="rId12"/>
          <w:footerReference w:type="first" r:id="rId13"/>
          <w:type w:val="nextPage"/>
          <w:pgSz w:w="12240" w:h="15840"/>
          <w:pgMar w:left="1728" w:right="1800" w:gutter="0" w:header="720" w:top="1440" w:footer="720" w:bottom="1440"/>
          <w:pgNumType w:start="1" w:fmt="decimal"/>
          <w:formProt w:val="false"/>
          <w:titlePg/>
          <w:textDirection w:val="lrTb"/>
          <w:docGrid w:type="default" w:linePitch="360" w:charSpace="0"/>
        </w:sectPr>
        <w:pStyle w:val="VECenteredText"/>
        <w:rPr/>
      </w:pPr>
      <w:r>
        <w:rPr>
          <w:rStyle w:val="VEBold"/>
        </w:rPr>
        <w:t>[Signature page follows]</w:t>
      </w:r>
    </w:p>
    <w:p>
      <w:pPr>
        <w:pStyle w:val="VEBodyText"/>
        <w:rPr/>
      </w:pPr>
      <w:r>
        <w:rPr/>
        <w:t>IN WITNESS WHEREOF, the parties have executed this Agreement as of the date first above written.</w:t>
      </w:r>
    </w:p>
    <w:p>
      <w:pPr>
        <w:pStyle w:val="VEBodyText"/>
        <w:rPr/>
      </w:pPr>
      <w:r>
        <w:rPr/>
        <w:t>KIODEX, INC.</w:t>
        <w:tab/>
        <w:tab/>
        <w:tab/>
        <w:tab/>
        <w:tab/>
        <w:t>ENRON NET WORKS LLC</w:t>
      </w:r>
    </w:p>
    <w:p>
      <w:pPr>
        <w:pStyle w:val="VEBodyText"/>
        <w:rPr/>
      </w:pPr>
      <w:r>
        <w:rPr/>
        <w:t>By:  ____________________</w:t>
        <w:tab/>
        <w:tab/>
        <w:tab/>
        <w:tab/>
        <w:t>By:  ____________________</w:t>
      </w:r>
    </w:p>
    <w:p>
      <w:pPr>
        <w:pStyle w:val="VEBodyText"/>
        <w:rPr/>
      </w:pPr>
      <w:r>
        <w:rPr/>
        <w:t>Name:  __________________</w:t>
        <w:tab/>
        <w:tab/>
        <w:tab/>
        <w:t>Name:  __________________</w:t>
      </w:r>
    </w:p>
    <w:p>
      <w:pPr>
        <w:pStyle w:val="VEBodyText"/>
        <w:rPr/>
      </w:pPr>
      <w:r>
        <w:rPr/>
        <w:t>Title:  ___________________</w:t>
        <w:tab/>
        <w:tab/>
        <w:tab/>
        <w:t>Title:  ____________________</w:t>
      </w:r>
    </w:p>
    <w:p>
      <w:pPr>
        <w:pStyle w:val="VEBodyText"/>
        <w:rPr/>
      </w:pPr>
      <w:r>
        <w:rPr/>
      </w:r>
    </w:p>
    <w:p>
      <w:pPr>
        <w:sectPr>
          <w:headerReference w:type="default" r:id="rId14"/>
          <w:headerReference w:type="first" r:id="rId15"/>
          <w:footerReference w:type="default" r:id="rId16"/>
          <w:footerReference w:type="first" r:id="rId17"/>
          <w:type w:val="nextPage"/>
          <w:pgSz w:w="12240" w:h="15840"/>
          <w:pgMar w:left="1728" w:right="1800" w:gutter="0" w:header="720" w:top="1440" w:footer="720" w:bottom="1440"/>
          <w:pgNumType w:start="1" w:fmt="decimal"/>
          <w:formProt w:val="false"/>
          <w:titlePg/>
          <w:textDirection w:val="lrTb"/>
          <w:docGrid w:type="default" w:linePitch="360" w:charSpace="0"/>
        </w:sectPr>
        <w:pStyle w:val="VECenteredText"/>
        <w:rPr/>
      </w:pPr>
      <w:r>
        <w:rPr/>
      </w:r>
    </w:p>
    <w:p>
      <w:pPr>
        <w:pStyle w:val="VECenteredText"/>
        <w:rPr/>
      </w:pPr>
      <w:r>
        <w:rPr>
          <w:rStyle w:val="VEBold"/>
        </w:rPr>
        <w:t>Exhibit A – Description of the Kiodex Application</w:t>
      </w:r>
    </w:p>
    <w:p>
      <w:pPr>
        <w:pStyle w:val="VEBodyText"/>
        <w:jc w:val="center"/>
        <w:rPr/>
      </w:pPr>
      <w:r>
        <w:rPr>
          <w:rStyle w:val="VEBold"/>
        </w:rPr>
        <w:t>[to be provided by Kiodex]</w:t>
      </w:r>
    </w:p>
    <w:p>
      <w:pPr>
        <w:sectPr>
          <w:headerReference w:type="default" r:id="rId18"/>
          <w:headerReference w:type="first" r:id="rId19"/>
          <w:footerReference w:type="default" r:id="rId20"/>
          <w:footerReference w:type="first" r:id="rId21"/>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rPr>
          <w:rStyle w:val="VEBold"/>
        </w:rPr>
      </w:pPr>
      <w:r>
        <w:rPr/>
      </w:r>
    </w:p>
    <w:p>
      <w:pPr>
        <w:pStyle w:val="VECenteredText"/>
        <w:rPr/>
      </w:pPr>
      <w:r>
        <w:rPr>
          <w:rStyle w:val="VEBold"/>
        </w:rPr>
        <w:t xml:space="preserve">Exhibit B – Description of the Kiodex Lite Tool </w:t>
      </w:r>
    </w:p>
    <w:p>
      <w:pPr>
        <w:pStyle w:val="VEBodyText"/>
        <w:ind w:firstLine="720" w:end="0"/>
        <w:rPr/>
      </w:pPr>
      <w:r>
        <w:rPr/>
        <w:t>1.</w:t>
        <w:tab/>
        <w:t>The Kiodex Lite Tool will use Encrypted Enron Transaction Data and Enron Market Data to price basis swaps, futures, forwards, swaps, American options, European options and Asian options modeled in the markets of (a) crude and refined oil and (b) natural gas at principal North American delivery points, and generate, at a minimum, the following: (i) mark to market reports; and (ii) profit and loss reports for Enron Customers.</w:t>
      </w:r>
    </w:p>
    <w:p>
      <w:pPr>
        <w:pStyle w:val="VEBodyText"/>
        <w:ind w:firstLine="720" w:end="0"/>
        <w:rPr/>
      </w:pPr>
      <w:r>
        <w:rPr/>
        <w:t>2.</w:t>
        <w:tab/>
        <w:t>The use of the Kiodex Lite Tool will conform to the following:</w:t>
      </w:r>
    </w:p>
    <w:p>
      <w:pPr>
        <w:pStyle w:val="VEBodyText"/>
        <w:ind w:firstLine="720" w:start="720" w:end="0"/>
        <w:rPr/>
      </w:pPr>
      <w:r>
        <w:rPr/>
        <w:t>(a)</w:t>
        <w:tab/>
        <w:t>Once the “Positions/Risk Reports” tab is selected, the Enron Customer will have the option to see the Enron Web Site generated position reports or to select a “Risk Analysis” button.</w:t>
      </w:r>
    </w:p>
    <w:p>
      <w:pPr>
        <w:pStyle w:val="VEBodyText"/>
        <w:ind w:firstLine="720" w:start="720" w:end="0"/>
        <w:rPr/>
      </w:pPr>
      <w:r>
        <w:rPr/>
        <w:t>(b)</w:t>
        <w:tab/>
        <w:t>By selecting the “Risk Analysis” button the following information will be provided to the Enron Customer:</w:t>
      </w:r>
    </w:p>
    <w:p>
      <w:pPr>
        <w:pStyle w:val="VEBodyText"/>
        <w:ind w:firstLine="720" w:start="1440" w:end="0"/>
        <w:rPr/>
      </w:pPr>
      <w:r>
        <w:rPr/>
        <w:t>(i)</w:t>
        <w:tab/>
        <w:t>some basic information about Kiodex;</w:t>
      </w:r>
    </w:p>
    <w:p>
      <w:pPr>
        <w:pStyle w:val="VEBodyText"/>
        <w:ind w:firstLine="720" w:start="1440" w:end="0"/>
        <w:rPr/>
      </w:pPr>
      <w:r>
        <w:rPr/>
        <w:t>(ii)</w:t>
        <w:tab/>
        <w:t>a brief description of the free Kiodex risk reports available: (A) that day’s mark to market report on the requesting sub-user’s Enron Web Site trades and (B) a daily profit and loss if options are supported;</w:t>
      </w:r>
    </w:p>
    <w:p>
      <w:pPr>
        <w:pStyle w:val="VEBodyText"/>
        <w:ind w:firstLine="720" w:start="1440" w:end="0"/>
        <w:rPr/>
      </w:pPr>
      <w:r>
        <w:rPr/>
        <w:t>(iii)</w:t>
        <w:tab/>
        <w:t>a detailed list of the Specified Products then supported by Kiodex;</w:t>
      </w:r>
    </w:p>
    <w:p>
      <w:pPr>
        <w:pStyle w:val="VEBodyText"/>
        <w:ind w:firstLine="720" w:start="1440" w:end="0"/>
        <w:rPr/>
      </w:pPr>
      <w:r>
        <w:rPr/>
        <w:t>(iv)</w:t>
        <w:tab/>
        <w:t>a button to request a free Kiodex Lite Report; and</w:t>
      </w:r>
    </w:p>
    <w:p>
      <w:pPr>
        <w:pStyle w:val="VEBodyText"/>
        <w:ind w:firstLine="720" w:start="1440" w:end="0"/>
        <w:rPr/>
      </w:pPr>
      <w:r>
        <w:rPr/>
        <w:t>(v)</w:t>
        <w:tab/>
        <w:t>a link to the Kiodex Web Site for further information.</w:t>
      </w:r>
    </w:p>
    <w:p>
      <w:pPr>
        <w:pStyle w:val="VEBodyText"/>
        <w:ind w:start="720" w:end="0"/>
        <w:rPr/>
      </w:pPr>
      <w:r>
        <w:rPr/>
        <w:t>All such information and content is subject to the prior approval of Enron, which will not be unreasonably withheld or delayed.</w:t>
      </w:r>
    </w:p>
    <w:p>
      <w:pPr>
        <w:pStyle w:val="VEBodyText"/>
        <w:ind w:firstLine="720" w:start="720" w:end="0"/>
        <w:rPr/>
      </w:pPr>
      <w:r>
        <w:rPr/>
        <w:t>(c)</w:t>
        <w:tab/>
        <w:t>If a master-user chooses to request a free Kiodex Lite Report from Kiodex they will be required to accept the “Kiodex Lite Terms and Conditions” on-line authorizing Enron to start publishing that master-user’s and all of his/her sub-users’ Enron transactions to Kiodex as they occur from that moment forward.</w:t>
      </w:r>
    </w:p>
    <w:p>
      <w:pPr>
        <w:pStyle w:val="VEBodyText"/>
        <w:ind w:firstLine="720" w:start="720" w:end="0"/>
        <w:rPr/>
      </w:pPr>
      <w:r>
        <w:rPr/>
        <w:t>(d)</w:t>
        <w:tab/>
        <w:t xml:space="preserve">If a sub-user chooses to request a free risk report from Kiodex prior to on-line authorization by their master-user, the sub-user will receive a message indicating, “Your master-user has to activate this functionality.” </w:t>
      </w:r>
    </w:p>
    <w:p>
      <w:pPr>
        <w:pStyle w:val="VEBodyText"/>
        <w:ind w:firstLine="720" w:start="720" w:end="0"/>
        <w:rPr/>
      </w:pPr>
      <w:r>
        <w:rPr/>
        <w:t>(e)</w:t>
        <w:tab/>
        <w:t>Once a master-user has authorized the transfer of transaction data to Kiodex, Enron will begin sending the data to Kiodex with the Enron Customer identification information encrypted.</w:t>
      </w:r>
    </w:p>
    <w:p>
      <w:pPr>
        <w:pStyle w:val="VEBodyText"/>
        <w:ind w:firstLine="720" w:start="720" w:end="0"/>
        <w:rPr/>
      </w:pPr>
      <w:r>
        <w:rPr/>
        <w:t>(f)</w:t>
        <w:tab/>
        <w:t>Kiodex will not know whose data is being transferred to it.</w:t>
      </w:r>
    </w:p>
    <w:p>
      <w:pPr>
        <w:pStyle w:val="VEBodyText"/>
        <w:ind w:firstLine="720" w:start="720" w:end="0"/>
        <w:rPr/>
      </w:pPr>
      <w:r>
        <w:rPr/>
        <w:t>(g)</w:t>
        <w:tab/>
        <w:t xml:space="preserve">Any master-user that accepts the Kiodex Lite Terms and Conditions and such master-user's designated sub-user will be able to request a free Kiodex Lite Report at any time on their day’s trades.  Specifically, a sub-user will be able to see a Kiodex Lite Report on his trades exclusively.  Furthermore, a master-user will not see an aggregated Kiodex Lite Report of his sub-users, but rather just a Kiodex Lite Report of his trades for that day.  </w:t>
      </w:r>
    </w:p>
    <w:p>
      <w:pPr>
        <w:pStyle w:val="VEBodyText"/>
        <w:ind w:firstLine="720" w:start="720" w:end="0"/>
        <w:rPr/>
      </w:pPr>
      <w:r>
        <w:rPr/>
        <w:t>(h)</w:t>
        <w:tab/>
        <w:t>Enron will determine, in its reasonable discretion, an appropriate limit to the number of free Kiodex Lite Report an Enron user can request in a day.</w:t>
      </w:r>
    </w:p>
    <w:p>
      <w:pPr>
        <w:sectPr>
          <w:headerReference w:type="default" r:id="rId22"/>
          <w:headerReference w:type="first" r:id="rId23"/>
          <w:footerReference w:type="default" r:id="rId24"/>
          <w:footerReference w:type="first" r:id="rId25"/>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ind w:firstLine="720" w:start="720" w:end="0"/>
        <w:rPr/>
      </w:pPr>
      <w:r>
        <w:rPr/>
      </w:r>
    </w:p>
    <w:p>
      <w:pPr>
        <w:pStyle w:val="VEBodyText"/>
        <w:ind w:firstLine="720" w:start="720" w:end="0"/>
        <w:jc w:val="center"/>
        <w:rPr/>
      </w:pPr>
      <w:r>
        <w:rPr>
          <w:rStyle w:val="VEBold"/>
        </w:rPr>
        <w:t>Exhibit C – Co-Marketing Obligations</w:t>
      </w:r>
    </w:p>
    <w:p>
      <w:pPr>
        <w:sectPr>
          <w:headerReference w:type="default" r:id="rId26"/>
          <w:headerReference w:type="first" r:id="rId27"/>
          <w:footerReference w:type="default" r:id="rId28"/>
          <w:footerReference w:type="first" r:id="rId29"/>
          <w:type w:val="nextPage"/>
          <w:pgSz w:w="12240" w:h="15840"/>
          <w:pgMar w:left="1728" w:right="1800" w:gutter="0" w:header="720" w:top="1440" w:footer="720" w:bottom="1440"/>
          <w:pgNumType w:start="1" w:fmt="decimal"/>
          <w:formProt w:val="false"/>
          <w:titlePg/>
          <w:textDirection w:val="lrTb"/>
          <w:docGrid w:type="default" w:linePitch="360" w:charSpace="0"/>
        </w:sectPr>
        <w:pStyle w:val="VEBodyText"/>
        <w:ind w:firstLine="720" w:end="0"/>
        <w:jc w:val="center"/>
        <w:rPr/>
      </w:pPr>
      <w:r>
        <w:rPr/>
        <w:t>[to be developed]</w:t>
      </w:r>
    </w:p>
    <w:p>
      <w:pPr>
        <w:pStyle w:val="VECenteredText"/>
        <w:rPr/>
      </w:pPr>
      <w:r>
        <w:rPr>
          <w:rStyle w:val="VEBold"/>
        </w:rPr>
        <w:t>Exhibit D – Warrant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rStyle w:val="VEBold"/>
          <w:b w:val="false"/>
          <w:bCs/>
        </w:rPr>
        <w:t>[see Warrant agreement]</w:t>
      </w:r>
    </w:p>
    <w:p>
      <w:pPr>
        <w:pStyle w:val="VEBodyText"/>
        <w:jc w:val="center"/>
        <w:rPr/>
      </w:pPr>
      <w:r>
        <w:rPr>
          <w:b/>
          <w:bCs/>
        </w:rPr>
        <w:t>EXHIBIT E</w:t>
      </w:r>
    </w:p>
    <w:p>
      <w:pPr>
        <w:pStyle w:val="VEBodyText"/>
        <w:numPr>
          <w:ilvl w:val="0"/>
          <w:numId w:val="0"/>
        </w:numPr>
        <w:jc w:val="center"/>
        <w:outlineLvl w:val="0"/>
        <w:rPr>
          <w:b/>
          <w:bCs/>
        </w:rPr>
      </w:pPr>
      <w:r>
        <w:rPr>
          <w:b/>
          <w:bCs/>
        </w:rPr>
        <w:t>Operations</w:t>
      </w:r>
    </w:p>
    <w:p>
      <w:pPr>
        <w:pStyle w:val="VEBodyText"/>
        <w:ind w:hanging="720" w:start="720" w:end="0"/>
        <w:rPr/>
      </w:pPr>
      <w:r>
        <w:rPr/>
        <w:t>1.</w:t>
        <w:tab/>
      </w:r>
      <w:r>
        <w:rPr>
          <w:b/>
          <w:bCs/>
          <w:u w:val="single"/>
        </w:rPr>
        <w:t>Communication Links between Enron and Kiodex</w:t>
      </w:r>
      <w:r>
        <w:rPr/>
        <w:t>.  Prior to the Kiodex Lite Tool Launch Date, Kiodex will establish redundant, secured and dedicated communication lines (each of a capacity at least equal to a T1 line [_____ kilobits per sec] between the Kiodex Web Site and the Enron Web Site, over which Enron Transaction Data and Kiodex Reports will be transferred; and Kiodex will maintain such lines for the term of the Agreement.</w:t>
      </w:r>
    </w:p>
    <w:p>
      <w:pPr>
        <w:pStyle w:val="VEBodyText"/>
        <w:ind w:hanging="720" w:start="720" w:end="0"/>
        <w:rPr/>
      </w:pPr>
      <w:r>
        <w:rPr/>
        <w:t>2.</w:t>
        <w:tab/>
      </w:r>
      <w:r>
        <w:rPr>
          <w:b/>
          <w:bCs/>
          <w:u w:val="single"/>
        </w:rPr>
        <w:t>Kiodex Web Site Infrastructure</w:t>
      </w:r>
      <w:r>
        <w:rPr/>
        <w:t xml:space="preserve">.  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Kiodex will design and implement the network between the Enron Web Site and Kiodex Web Site such that (i) no single component failure will have a materially adverse impact on Enron Customers seeking to reach the Kiodex Web Site from the Enron Web Site, and (ii) no single line under material control by Kiodex will run at more than 70% average utilization for a 5-minute peak in a daily period.  In this regard, Kiodex will provide Enron, upon request, with a detailed network diagram regarding the architecture and network infrastructure supporting the Kiodex Web Site.  </w:t>
      </w:r>
    </w:p>
    <w:p>
      <w:pPr>
        <w:pStyle w:val="VEBodyText"/>
        <w:ind w:hanging="720" w:start="720" w:end="0"/>
        <w:rPr/>
      </w:pPr>
      <w:r>
        <w:rPr/>
        <w:t>3.</w:t>
        <w:tab/>
      </w:r>
      <w:r>
        <w:rPr>
          <w:b/>
          <w:bCs/>
          <w:u w:val="single"/>
        </w:rPr>
        <w:t>Optimization; Speed</w:t>
      </w:r>
      <w:r>
        <w:rPr/>
        <w:t>.  Kiodex will ensure that: (a) the functionality and features within the Kiodex Web Site are optimized for the client software then in use by Enron Customers; and (b) the Kiodex Web Site is designed and populated in a manner that minimizes delays when Enron Customers attempt to access such site.  At a minimum, Kiodex will ensure that the risk report is generated within ten (10) seconds of a request for a report, and that if the risk report is not generated within [0.25 seconds], then a page will be displayed by Kiodex with a message indicating that the request is being processed and the report is being generated.  Prior to Kiodex Lite Tool Launch Date and any upgrade or material change to any Kiodex Application or the Kiodex Web Site, Kiodex will permit Enron to conduct performance and load testing of the Kiodex Web Site (in person or through remote communications), and such Kiodex Lite Tool Launch Date will not commence until such time as Enron is reasonably satisfied with the results of any such testing.</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hanging="720" w:start="720" w:end="0"/>
        <w:rPr/>
      </w:pPr>
      <w:r>
        <w:rPr/>
        <w:t>4.</w:t>
        <w:tab/>
      </w:r>
      <w:r>
        <w:rPr>
          <w:b/>
          <w:bCs/>
          <w:u w:val="single"/>
        </w:rPr>
        <w:t>User Interface</w:t>
      </w:r>
      <w:r>
        <w:rPr/>
        <w:t>.  Kiodex will maintain a graphical user interface within the Kiodex Web Site that is competitive in all material respects with interfaces of other similar sites based on similar technology. Enron, at its own expense, may conduct focus group testing of the graphical user interface to assess Kiodex’s compliance herewith.</w:t>
      </w:r>
    </w:p>
    <w:p>
      <w:pPr>
        <w:pStyle w:val="VEBodyText"/>
        <w:ind w:hanging="720" w:start="720" w:end="0"/>
        <w:rPr/>
      </w:pPr>
      <w:r>
        <w:rPr/>
      </w:r>
    </w:p>
    <w:p>
      <w:pPr>
        <w:pStyle w:val="VEBodyText"/>
        <w:ind w:hanging="720" w:start="720" w:end="0"/>
        <w:rPr/>
      </w:pPr>
      <w:r>
        <w:rPr/>
        <w:t>5.</w:t>
        <w:tab/>
      </w:r>
      <w:r>
        <w:rPr>
          <w:b/>
          <w:bCs/>
          <w:u w:val="single"/>
        </w:rPr>
        <w:t>Technical Problems</w:t>
      </w:r>
      <w:r>
        <w:rPr/>
        <w:t>.  Kiodex agrees to address technical problems (over which Kiodex exercises control) affecting use by Enron Customers (a “Kiodex Technical Problem”) promptly following notice thereof.  In the event that Kiodex is unable to promptly resolve a Kiodex Technical Problem following notice thereof from Enron or an Enron Customer (including, without limitation, infrastructure deficiencies producing user delays), Enron will have the right to disable and/or remove Enron Customer’s access to and/or use of the Kiodex Lite Tool until such time as Kiodex corrects the Kiodex Technical Problem at issue in Enron’s judgment.</w:t>
      </w:r>
    </w:p>
    <w:p>
      <w:pPr>
        <w:pStyle w:val="VEBodyText"/>
        <w:ind w:hanging="720" w:start="720" w:end="0"/>
        <w:rPr/>
      </w:pPr>
      <w:r>
        <w:rPr/>
        <w:t>6.</w:t>
        <w:tab/>
      </w:r>
      <w:r>
        <w:rPr>
          <w:b/>
          <w:bCs/>
          <w:u w:val="single"/>
        </w:rPr>
        <w:t>Monitoring</w:t>
      </w:r>
      <w:r>
        <w:rPr/>
        <w:t>.  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BodyText"/>
        <w:ind w:hanging="720" w:start="720" w:end="0"/>
        <w:rPr/>
      </w:pPr>
      <w:r>
        <w:rPr/>
        <w:t>7.</w:t>
        <w:tab/>
      </w:r>
      <w:r>
        <w:rPr>
          <w:b/>
          <w:bCs/>
          <w:u w:val="single"/>
        </w:rPr>
        <w:t>Telecommunications</w:t>
      </w:r>
      <w:r>
        <w:rPr/>
        <w:t xml:space="preserve">.  Kiodex will utilize encryption methodology to secure data communications between the parties’ data centers.  The network between the Parties will be configured such that no single component failure will significantly impact Enron Customers. </w:t>
      </w:r>
    </w:p>
    <w:p>
      <w:pPr>
        <w:pStyle w:val="VEBodyText"/>
        <w:ind w:hanging="720" w:start="720" w:end="0"/>
        <w:rPr/>
      </w:pPr>
      <w:r>
        <w:rPr/>
        <w:t>8.</w:t>
        <w:tab/>
      </w:r>
      <w:r>
        <w:rPr>
          <w:b/>
          <w:bCs/>
          <w:u w:val="single"/>
        </w:rPr>
        <w:t>Security</w:t>
      </w:r>
      <w:r>
        <w:rPr/>
        <w:t>.  Kiodex will utilize Internet standard encryption technologies (e.g., Secure Socket Layer – SSL) to provide a secure environment for conducting transactions and/or transferring Enron Customer information to and from the Kiodex Web Site.  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satisfaction.</w:t>
      </w:r>
    </w:p>
    <w:p>
      <w:pPr>
        <w:pStyle w:val="VEBodyText"/>
        <w:rPr/>
      </w:pPr>
      <w:r>
        <w:rPr/>
        <w:t>9.</w:t>
        <w:tab/>
      </w:r>
      <w:r>
        <w:rPr>
          <w:b/>
          <w:bCs/>
          <w:u w:val="single"/>
        </w:rPr>
        <w:t>Technical Performance</w:t>
      </w:r>
      <w:r>
        <w:rPr/>
        <w:t>.</w:t>
      </w:r>
    </w:p>
    <w:p>
      <w:pPr>
        <w:pStyle w:val="VEBodyText"/>
        <w:ind w:hanging="720" w:start="1440" w:end="0"/>
        <w:rPr/>
      </w:pPr>
      <w:r>
        <w:rPr/>
        <w:t>(i)</w:t>
        <w:tab/>
        <w:t>Kiodex will design the Kiodex Web Site to support versions of the Microsoft Internet Explorer 3.XX and 4.XX browsers (Windows and Macintosh) and the Netscape Browser 4.XX and to support all other browsers designated from time to time by Enron.</w:t>
      </w:r>
    </w:p>
    <w:p>
      <w:pPr>
        <w:pStyle w:val="VEBodyText"/>
        <w:ind w:hanging="720" w:start="1440" w:end="0"/>
        <w:rPr/>
      </w:pPr>
      <w:r>
        <w:rPr/>
        <w:t>(ii)</w:t>
        <w:tab/>
        <w:t>Kiodex will periodically review the technical information made available by Enron at http://________________________.</w:t>
      </w:r>
    </w:p>
    <w:p>
      <w:pPr>
        <w:pStyle w:val="VEBodyText"/>
        <w:ind w:hanging="720" w:start="1440" w:end="0"/>
        <w:rPr/>
      </w:pPr>
      <w:r>
        <w:rPr/>
        <w:t>(iii)</w:t>
        <w:tab/>
        <w:t>Kiodex will design its site to support HTTP 1.0 or later protocol as defined in RFC 1945 and to adhere to Enron’s parameters for refreshing or preventing the caching of information in Enron’s proxy system.</w:t>
      </w:r>
    </w:p>
    <w:p>
      <w:pPr>
        <w:pStyle w:val="VEBodyText"/>
        <w:ind w:hanging="720" w:start="1440" w:end="0"/>
        <w:rPr/>
      </w:pPr>
      <w:r>
        <w:rPr/>
        <w:t>(iv)</w:t>
        <w:tab/>
        <w:t xml:space="preserve">Prior to releasing material new functionality or features through the Kiodex Web Site (“New Functionality”), Kiodex will (i) test the New Functionality to confirm its compatibility with Enron Web Site software, and (ii) provide Enron with advance written notice of the New Functionality so that Enron can perform tests of the New Functionality to confirm its compatibility with the Enron Web Site software. </w:t>
      </w:r>
    </w:p>
    <w:p>
      <w:pPr>
        <w:pStyle w:val="VEBodyText"/>
        <w:ind w:hanging="720" w:start="1440" w:end="0"/>
        <w:rPr/>
      </w:pPr>
      <w:r>
        <w:rPr/>
        <w:t>(v)</w:t>
        <w:tab/>
        <w:t>Prior to a general release of a major new version of Enron Web Site software or adding material new functionality or features to the Enron Web Site software (collectively “New Enron Software”) that will materially affect the Kiodex Web Site, Enron will provide Kiodex with written notice of the new functionality and features of the New Enron Software.</w:t>
      </w:r>
    </w:p>
    <w:p>
      <w:pPr>
        <w:pStyle w:val="VEBodyText"/>
        <w:ind w:hanging="720" w:start="720" w:end="0"/>
        <w:rPr/>
      </w:pPr>
      <w:r>
        <w:rPr/>
        <w:t>10.</w:t>
        <w:tab/>
      </w:r>
      <w:r>
        <w:rPr>
          <w:b/>
          <w:bCs/>
          <w:u w:val="single"/>
        </w:rPr>
        <w:t>Kiodex Support</w:t>
      </w:r>
      <w:r>
        <w:rPr/>
        <w:t xml:space="preserve">.  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provide all Enron Customers will a toll free number for customer support.  </w:t>
      </w:r>
    </w:p>
    <w:p>
      <w:pPr>
        <w:pStyle w:val="VEBodyText"/>
        <w:ind w:hanging="720" w:start="720" w:end="0"/>
        <w:rPr/>
      </w:pPr>
      <w:r>
        <w:rPr/>
        <w:t>11.</w:t>
        <w:tab/>
      </w:r>
      <w:r>
        <w:rPr>
          <w:b/>
          <w:bCs/>
          <w:u w:val="single"/>
        </w:rPr>
        <w:t>Provision of Other Content</w:t>
      </w:r>
      <w:r>
        <w:rPr/>
        <w:t>.  In the event that Enron notifies Kiodex that (i) as reasonably determined by Enron, any Content within the Kiodex Web Site violates Enron’s then-standard terms of service or the terms of this Agreement or Enron’s advertising standards, or (ii) Enron reasonably objects to the inclusion of any Content within the Kiodex Web Site (other than any specific items of Content which may be expressly identified in this Agreement), then Kiodex will block access by Enron Customers to such Content using Kiodex’s then-available technology.  In the event that Kiodex cannot block access by Enron Customers to the Content in question, then Kiodex will provide Enron prompt written notice of such fact.  Enron may then, at its option, restrict access from the Enron Web Site to the Content in question using technology available to Enron.  Kiodex will cooperate with Enron’s reasonable requests to the extent Enron elects to implement any such access restrictions.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VEBodyText"/>
        <w:ind w:hanging="720" w:start="720" w:end="0"/>
        <w:rPr/>
      </w:pPr>
      <w:r>
        <w:rPr/>
        <w:t>12.</w:t>
        <w:tab/>
      </w:r>
      <w:r>
        <w:rPr>
          <w:b/>
          <w:bCs/>
          <w:u w:val="single"/>
        </w:rPr>
        <w:t>Enron Look and Feel</w:t>
      </w:r>
      <w:r>
        <w:rPr/>
        <w:t>.  Kiodex acknowledges and agrees that Enron will own all right, title and interest in and to the Enron “look and feel”, including any elements of graphics, design, organization, presentation, layout, user interface, navigation and stylistic convention (including the digital implementations thereof) which are generally associated with online areas contained within the Enron Web Site. Enron “look and feel” specifically excludes Kiodex’s ownership rights in any Kiodex trademarks or Kiodex’s copyrighted material within the Kiodex Web Site.</w:t>
      </w:r>
    </w:p>
    <w:p>
      <w:pPr>
        <w:pStyle w:val="VEBodyText"/>
        <w:ind w:hanging="720" w:start="720" w:end="0"/>
        <w:rPr/>
      </w:pPr>
      <w:r>
        <w:rPr/>
      </w:r>
    </w:p>
    <w:p>
      <w:pPr>
        <w:pStyle w:val="VEBodyText"/>
        <w:ind w:hanging="720" w:start="720" w:end="0"/>
        <w:rPr/>
      </w:pPr>
      <w:r>
        <w:rPr/>
        <w:t>13.</w:t>
        <w:tab/>
      </w:r>
      <w:r>
        <w:rPr>
          <w:b/>
          <w:bCs/>
          <w:u w:val="single"/>
        </w:rPr>
        <w:t>Management of the Kiodex Web Site</w:t>
      </w:r>
      <w:r>
        <w:rPr/>
        <w:t xml:space="preserve">.  Kiodex also represents and warrants to Enron that a reasonable basis exists for all Product performance or comparison claims appearing through the Kiodex Web Site.  Kiodex shall not in any manner state or imply that Enron recommends or endorses Kiodex or Kiodex’s products (e.g., statements that Kiodex is an  “official” or “preferred” provider of products or services for Enron).  Enron will have no obligations with respect to the Kiodex products available on or through the Enron Web Site or the Kiodex Web Site, including, but not limited to, any duty to review or monitor any such products. </w:t>
      </w:r>
    </w:p>
    <w:p>
      <w:pPr>
        <w:pStyle w:val="VEBodyText"/>
        <w:ind w:hanging="720" w:start="720" w:end="0"/>
        <w:rPr/>
      </w:pPr>
      <w:r>
        <w:rPr/>
        <w:t>15.</w:t>
        <w:tab/>
      </w:r>
      <w:r>
        <w:rPr>
          <w:b/>
          <w:bCs/>
          <w:u w:val="single"/>
        </w:rPr>
        <w:t>Duty to Inform</w:t>
      </w:r>
      <w:r>
        <w:rPr/>
        <w:t xml:space="preserve">.  Kiodex will promptly inform Enron of any information related to the Kiodex Web Site of which Kiodex has actual knowledge which is reasonably likely to lead to a material claim, demand, or liability of or against Enron and/or its affiliates by any third party. </w:t>
      </w:r>
    </w:p>
    <w:p>
      <w:pPr>
        <w:pStyle w:val="VEBodyText"/>
        <w:ind w:hanging="720" w:start="720" w:end="0"/>
        <w:rPr/>
      </w:pPr>
      <w:r>
        <w:rPr/>
        <w:t>16.</w:t>
        <w:tab/>
      </w:r>
      <w:r>
        <w:rPr>
          <w:b/>
          <w:bCs/>
          <w:u w:val="single"/>
        </w:rPr>
        <w:t>Customer Service</w:t>
      </w:r>
      <w:r>
        <w:rPr/>
        <w:t xml:space="preserve">.  It is the sole responsibility of Kiodex to provide customer service to persons or entities purchasing Kiodex Applications through the Enron Web Site.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itlePg/>
          <w:textDirection w:val="lrTb"/>
          <w:docGrid w:type="default" w:linePitch="360" w:charSpace="0"/>
        </w:sectPr>
        <w:pStyle w:val="VEBodyText"/>
        <w:ind w:hanging="720" w:start="720" w:end="0"/>
        <w:rPr/>
      </w:pPr>
      <w:r>
        <w:rPr/>
        <w:t>17.</w:t>
        <w:tab/>
      </w:r>
      <w:r>
        <w:rPr>
          <w:b/>
          <w:bCs/>
          <w:u w:val="single"/>
        </w:rPr>
        <w:t>Navigation Tools</w:t>
      </w:r>
      <w:r>
        <w:rPr/>
        <w:t xml:space="preserve">.  To the extent Enron allows Enron Customers to bookmark the URL or other locator for the Kiodex Web Site on the Enron Web Site, such bookmarks will be subject to Enron’s control at all times.  </w:t>
      </w:r>
    </w:p>
    <w:p>
      <w:pPr>
        <w:pStyle w:val="VECenteredText"/>
        <w:rPr/>
      </w:pPr>
      <w:r>
        <w:rPr>
          <w:rStyle w:val="VEBold"/>
        </w:rPr>
        <w:t>Exhibit F – Form of Consent and Release</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t>[to be developed]</w:t>
      </w:r>
    </w:p>
    <w:p>
      <w:pPr>
        <w:pStyle w:val="VECenteredText"/>
        <w:rPr/>
      </w:pPr>
      <w:r>
        <w:rPr>
          <w:rStyle w:val="VEBold"/>
        </w:rPr>
        <w:t>Exhibit G – Form of Kiodex Lite Terms and Conditions of Use</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t>[to be developed]</w:t>
      </w:r>
    </w:p>
    <w:p>
      <w:pPr>
        <w:pStyle w:val="VEBodyText"/>
        <w:spacing w:before="0" w:after="240"/>
        <w:jc w:val="center"/>
        <w:rPr/>
      </w:pPr>
      <w:r>
        <w:rPr>
          <w:rStyle w:val="VEBold"/>
        </w:rPr>
        <w:t>Exhibit H – Form of Opinion</w:t>
      </w:r>
    </w:p>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tab/>
    </w:r>
    <w:r>
      <w:rPr>
        <w:rStyle w:val="VEDocumentInformation"/>
        <w:sz w:val="24"/>
        <w:lang w:val="en-CA" w:eastAsia="en-CA"/>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471373_1.DOC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tab/>
    </w:r>
    <w:r>
      <w:rPr>
        <w:rStyle w:val="VEDocumentInformation"/>
        <w:sz w:val="24"/>
        <w:lang w:val="en-CA" w:eastAsia="en-CA"/>
      </w:rPr>
      <w:t>E-</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1" name="Frame1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2" name="Frame1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VEDocumentInformation"/>
        <w:sz w:val="24"/>
        <w:lang w:val="en-CA" w:eastAsia="en-CA"/>
      </w:rPr>
      <w:t>F</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3" name="Frame1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474343_1.DOC</w:t>
    </w:r>
    <w:r>
      <w:rPr>
        <w:rStyle w:val="VEDocumentInformation"/>
      </w:rPr>
      <w:tab/>
    </w:r>
    <w:r>
      <w:rPr>
        <w:rStyle w:val="VEDocumentInformation"/>
        <w:sz w:val="24"/>
      </w:rPr>
      <w:t>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VEDocumentInformation"/>
      </w:rPr>
      <w:tab/>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474343_1.DOC</w:t>
    </w:r>
    <w:r>
      <w:rPr>
        <w:rStyle w:val="VEDocumentInformation"/>
      </w:rPr>
      <w:tab/>
    </w:r>
    <w:r>
      <w:rPr>
        <w:rStyle w:val="VEDocumentInformation"/>
        <w:sz w:val="24"/>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February 22,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
      <w:lvlJc w:val="start"/>
      <w:pPr>
        <w:tabs>
          <w:tab w:val="num" w:pos="0"/>
        </w:tabs>
        <w:ind w:start="0" w:hanging="0"/>
      </w:pPr>
      <w:rPr/>
    </w:lvl>
    <w:lvl w:ilvl="1">
      <w:start w:val="1"/>
      <w:isLgl/>
      <w:numFmt w:val="decimal"/>
      <w:lvlText w:val="%1.%2"/>
      <w:lvlJc w:val="start"/>
      <w:pPr>
        <w:tabs>
          <w:tab w:val="num" w:pos="0"/>
        </w:tabs>
        <w:ind w:start="0" w:firstLine="720"/>
      </w:pPr>
      <w:rPr/>
    </w:lvl>
    <w:lvl w:ilvl="2">
      <w:start w:val="1"/>
      <w:numFmt w:val="lowerLetter"/>
      <w:lvlText w:val="(%3)"/>
      <w:lvlJc w:val="start"/>
      <w:pPr>
        <w:tabs>
          <w:tab w:val="num" w:pos="0"/>
        </w:tabs>
        <w:ind w:start="0" w:firstLine="1440"/>
      </w:pPr>
      <w:rPr/>
    </w:lvl>
    <w:lvl w:ilvl="3">
      <w:start w:val="1"/>
      <w:numFmt w:val="lowerRoman"/>
      <w:lvlText w:val="(%4)"/>
      <w:lvlJc w:val="start"/>
      <w:pPr>
        <w:tabs>
          <w:tab w:val="num" w:pos="0"/>
        </w:tabs>
        <w:ind w:start="0" w:firstLine="2160"/>
      </w:pPr>
      <w:rPr/>
    </w:lvl>
    <w:lvl w:ilvl="4">
      <w:start w:val="1"/>
      <w:numFmt w:val="upperLetter"/>
      <w:lvlText w:val="%5."/>
      <w:lvlJc w:val="start"/>
      <w:pPr>
        <w:tabs>
          <w:tab w:val="num" w:pos="0"/>
        </w:tabs>
        <w:ind w:start="0" w:firstLine="2880"/>
      </w:pPr>
      <w:rPr/>
    </w:lvl>
    <w:lvl w:ilvl="5">
      <w:start w:val="1"/>
      <w:numFmt w:val="decimal"/>
      <w:lvlText w:val="%6."/>
      <w:lvlJc w:val="start"/>
      <w:pPr>
        <w:tabs>
          <w:tab w:val="num" w:pos="0"/>
        </w:tabs>
        <w:ind w:start="0" w:firstLine="3600"/>
      </w:pPr>
      <w:rPr/>
    </w:lvl>
    <w:lvl w:ilvl="6">
      <w:start w:val="1"/>
      <w:numFmt w:val="lowerLetter"/>
      <w:lvlText w:val="%7."/>
      <w:lvlJc w:val="start"/>
      <w:pPr>
        <w:tabs>
          <w:tab w:val="num" w:pos="0"/>
        </w:tabs>
        <w:ind w:start="0" w:firstLine="4320"/>
      </w:pPr>
      <w:rPr/>
    </w:lvl>
    <w:lvl w:ilvl="7">
      <w:start w:val="1"/>
      <w:numFmt w:val="lowerRoman"/>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szCs w:val="20"/>
    </w:rPr>
  </w:style>
  <w:style w:type="paragraph" w:styleId="Heading4">
    <w:name w:val="heading 4"/>
    <w:basedOn w:val="Normal"/>
    <w:next w:val="Normal"/>
    <w:qFormat/>
    <w:pPr>
      <w:numPr>
        <w:ilvl w:val="3"/>
        <w:numId w:val="1"/>
      </w:numPr>
      <w:spacing w:before="0" w:after="240"/>
      <w:outlineLvl w:val="3"/>
    </w:pPr>
    <w:rPr>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3z0">
    <w:name w:val="WW8Num23z0"/>
    <w:qFormat/>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DocumentMap">
    <w:name w:val="Document Map"/>
    <w:basedOn w:val="Normal"/>
    <w:qFormat/>
    <w:pPr>
      <w:shd w:fill="000080" w:val="clear"/>
    </w:pPr>
    <w:rPr>
      <w:rFonts w:ascii="Tahoma" w:hAnsi="Tahoma" w:cs="Tahoma"/>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TOC2">
    <w:name w:val="toc 2"/>
    <w:basedOn w:val="VENormal"/>
    <w:pPr>
      <w:jc w:val="start"/>
    </w:pPr>
    <w:rPr>
      <w:rFonts w:cs="Times New Roman"/>
      <w:bC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ind w:firstLine="2880" w:start="0" w:end="0"/>
    </w:pPr>
    <w:rPr/>
  </w:style>
  <w:style w:type="paragraph" w:styleId="VESchedule1">
    <w:name w:val="VE Schedule 1"/>
    <w:basedOn w:val="VENormal"/>
    <w:qFormat/>
    <w:pPr>
      <w:numPr>
        <w:ilvl w:val="0"/>
        <w:numId w:val="6"/>
      </w:numPr>
      <w:ind w:hanging="0" w:start="0" w:end="0"/>
      <w:jc w:val="start"/>
    </w:pPr>
    <w:rPr/>
  </w:style>
  <w:style w:type="paragraph" w:styleId="VESchedule2">
    <w:name w:val="VE Schedule 2"/>
    <w:basedOn w:val="VENormal"/>
    <w:qFormat/>
    <w:pPr>
      <w:numPr>
        <w:ilvl w:val="0"/>
        <w:numId w:val="6"/>
      </w:numPr>
      <w:tabs>
        <w:tab w:val="clear" w:pos="720"/>
      </w:tabs>
      <w:ind w:hanging="0" w:start="0" w:end="0"/>
    </w:pPr>
    <w:rPr/>
  </w:style>
  <w:style w:type="paragraph" w:styleId="VESchedule3">
    <w:name w:val="VE Schedule 3"/>
    <w:basedOn w:val="VENormal"/>
    <w:qFormat/>
    <w:pPr>
      <w:numPr>
        <w:ilvl w:val="0"/>
        <w:numId w:val="6"/>
      </w:numPr>
      <w:tabs>
        <w:tab w:val="clear" w:pos="720"/>
      </w:tabs>
      <w:ind w:hanging="0" w:start="0" w:end="0"/>
    </w:pPr>
    <w:rPr/>
  </w:style>
  <w:style w:type="paragraph" w:styleId="VESchedule4">
    <w:name w:val="VE Schedule 4"/>
    <w:basedOn w:val="VENormal"/>
    <w:qFormat/>
    <w:pPr>
      <w:numPr>
        <w:ilvl w:val="0"/>
        <w:numId w:val="6"/>
      </w:numPr>
      <w:tabs>
        <w:tab w:val="clear" w:pos="720"/>
      </w:tabs>
      <w:ind w:hanging="0" w:start="0" w:end="0"/>
    </w:pPr>
    <w:rPr/>
  </w:style>
  <w:style w:type="paragraph" w:styleId="VEScheduleText1">
    <w:name w:val="VE Schedule Text 1"/>
    <w:basedOn w:val="VENormal"/>
    <w:qFormat/>
    <w:pPr/>
    <w:rPr/>
  </w:style>
  <w:style w:type="paragraph" w:styleId="VEScheduleText2">
    <w:name w:val="VE Schedule Text 2"/>
    <w:basedOn w:val="VENormal"/>
    <w:qFormat/>
    <w:pPr/>
    <w:rPr/>
  </w:style>
  <w:style w:type="paragraph" w:styleId="VEScheduleText3">
    <w:name w:val="VE Schedule Text 3"/>
    <w:basedOn w:val="VENormal"/>
    <w:qFormat/>
    <w:pPr/>
    <w:rPr/>
  </w:style>
  <w:style w:type="paragraph" w:styleId="VEScheduleText4">
    <w:name w:val="VE Schedule Text 4"/>
    <w:basedOn w:val="VENormal"/>
    <w:qFormat/>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1">
    <w:name w:val="toc 1"/>
    <w:basedOn w:val="VENormal"/>
    <w:pPr>
      <w:spacing w:before="240" w:after="120"/>
      <w:jc w:val="center"/>
    </w:pPr>
    <w:rPr>
      <w:rFonts w:cs="Times New Roman"/>
      <w:bCs/>
      <w:caps/>
      <w:szCs w:val="28"/>
    </w:rPr>
  </w:style>
  <w:style w:type="paragraph" w:styleId="TOC3">
    <w:name w:val="toc 3"/>
    <w:basedOn w:val="VENormal"/>
    <w:pPr>
      <w:ind w:hanging="0" w:start="240" w:end="0"/>
      <w:jc w:val="start"/>
    </w:pPr>
    <w:rPr>
      <w:rFonts w:cs="Times New Roman"/>
    </w:rPr>
  </w:style>
  <w:style w:type="paragraph" w:styleId="TOC4">
    <w:name w:val="toc 4"/>
    <w:basedOn w:val="VENormal"/>
    <w:pPr>
      <w:ind w:hanging="0" w:start="480" w:end="0"/>
      <w:jc w:val="start"/>
    </w:pPr>
    <w:rPr>
      <w:rFonts w:cs="Times New Roman"/>
    </w:rPr>
  </w:style>
  <w:style w:type="paragraph" w:styleId="TOC5">
    <w:name w:val="toc 5"/>
    <w:basedOn w:val="VENormal"/>
    <w:pPr>
      <w:ind w:hanging="0" w:start="720" w:end="0"/>
      <w:jc w:val="start"/>
    </w:pPr>
    <w:rPr>
      <w:rFonts w:cs="Times New Roman"/>
    </w:rPr>
  </w:style>
  <w:style w:type="paragraph" w:styleId="TOC6">
    <w:name w:val="toc 6"/>
    <w:basedOn w:val="VENormal"/>
    <w:pPr>
      <w:ind w:hanging="0" w:start="960" w:end="0"/>
      <w:jc w:val="start"/>
    </w:pPr>
    <w:rPr>
      <w:rFonts w:cs="Times New Roman"/>
    </w:rPr>
  </w:style>
  <w:style w:type="paragraph" w:styleId="TOC7">
    <w:name w:val="toc 7"/>
    <w:basedOn w:val="VENormal"/>
    <w:pPr>
      <w:ind w:hanging="0" w:start="1200" w:end="0"/>
      <w:jc w:val="start"/>
    </w:pPr>
    <w:rPr>
      <w:rFonts w:cs="Times New Roman"/>
    </w:rPr>
  </w:style>
  <w:style w:type="paragraph" w:styleId="TOC8">
    <w:name w:val="toc 8"/>
    <w:basedOn w:val="VENormal"/>
    <w:pPr>
      <w:ind w:hanging="0" w:start="1440" w:end="0"/>
      <w:jc w:val="start"/>
    </w:pPr>
    <w:rPr>
      <w:rFonts w:cs="Times New Roman"/>
    </w:rPr>
  </w:style>
  <w:style w:type="paragraph" w:styleId="TOC9">
    <w:name w:val="toc 9"/>
    <w:basedOn w:val="VENormal"/>
    <w:pPr>
      <w:ind w:hanging="0" w:start="1680" w:end="0"/>
      <w:jc w:val="start"/>
    </w:pPr>
    <w:rPr>
      <w:rFonts w:cs="Times New Roman"/>
    </w:rPr>
  </w:style>
  <w:style w:type="paragraph" w:styleId="FootnoteText">
    <w:name w:val="footnote text"/>
    <w:basedOn w:val="Normal"/>
    <w:pPr/>
    <w:rPr>
      <w:rFonts w:ascii="Book Antiqua" w:hAnsi="Book Antiqua" w:cs="Book Antiqua"/>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2001-02-23T15:09:00Z</dcterms:created>
  <dc:creator>Travis McCullough</dc:creator>
  <dc:description/>
  <dc:language>en-CA</dc:language>
  <cp:lastModifiedBy>Travis McCullough</cp:lastModifiedBy>
  <cp:lastPrinted>2001-02-23T16:26:00Z</cp:lastPrinted>
  <dcterms:modified xsi:type="dcterms:W3CDTF">2001-02-23T19:57:00Z</dcterms:modified>
  <cp:revision>6</cp:revision>
  <dc:subject/>
  <dc:title>CO-MARKETING AGREEMENT</dc:title>
</cp:coreProperties>
</file>