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Transwestern applauds the CAC's proposal of a path-defined receipt point structure that would define primary and secondary rights at receipt points on the SoCalGas system. Not only does the proposal satisfy the Commission's requirement that Hector Road be established as a formal receipt point, it is also consistent with open and non-discriminatory access and use of the SoCalGas system, and will help provide a reasonable degree of certainty so that all market participants can more effectively plan gas transportation.</w:t>
      </w:r>
    </w:p>
    <w:p>
      <w:pPr>
        <w:pStyle w:val="Normal"/>
        <w:rPr/>
      </w:pPr>
      <w:r>
        <w:rPr/>
      </w:r>
    </w:p>
    <w:p>
      <w:pPr>
        <w:pStyle w:val="BodyText"/>
        <w:rPr/>
      </w:pPr>
      <w:r>
        <w:rPr/>
        <w:tab/>
        <w:t>Transwestern's only comment on the CAC proposal at this time is that the parties may still need to address certain details regarding implementation of the receipt point proposal that have not been included in the CAC document.  To this end, Transwestern proposes that implementation of the receipt point proposal be included as an agenda item for one of the upcoming all-party settlement meetings.  [specify which meeting?]  Transwestern looks forward to a constructive discussion of the proposal and is confident that the parties will be able to agree on a plan for implementation.</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2000-02-09T18:41:00Z</dcterms:created>
  <dc:creator>Susan Scott</dc:creator>
  <dc:description/>
  <dc:language>en-CA</dc:language>
  <cp:lastModifiedBy>Susan Scott</cp:lastModifiedBy>
  <dcterms:modified xsi:type="dcterms:W3CDTF">2000-02-09T19:59:00Z</dcterms:modified>
  <cp:revision>1</cp:revision>
  <dc:subject/>
  <dc:title/>
</cp:coreProperties>
</file>