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lang w:val="en-US" w:eastAsia="en-US"/>
        </w:rPr>
      </w:pPr>
      <w:r>
        <w:rPr>
          <w:b/>
          <w:color w:val="000000"/>
          <w:lang w:val="en-US" w:eastAsia="en-US"/>
        </w:rPr>
        <w:t>JOSE LNG PROJECT</w:t>
      </w:r>
    </w:p>
    <w:p>
      <w:pPr>
        <w:pStyle w:val="Normal"/>
        <w:jc w:val="center"/>
        <w:rPr>
          <w:b/>
          <w:color w:val="000000"/>
          <w:lang w:val="en-US" w:eastAsia="en-US"/>
        </w:rPr>
      </w:pPr>
      <w:r>
        <w:rPr>
          <w:b/>
          <w:color w:val="000000"/>
          <w:lang w:val="en-US" w:eastAsia="en-US"/>
        </w:rPr>
        <w:t>Weekly Summary – Feb. 5 / Feb. 15 (last two weeks)</w:t>
      </w:r>
    </w:p>
    <w:p>
      <w:pPr>
        <w:pStyle w:val="Normal"/>
        <w:rPr>
          <w:b/>
          <w:color w:val="000000"/>
          <w:lang w:val="en-US" w:eastAsia="en-US"/>
        </w:rPr>
      </w:pPr>
      <w:r>
        <w:rPr>
          <w:b/>
          <w:color w:val="000000"/>
          <w:lang w:val="en-US" w:eastAsia="en-US"/>
        </w:rPr>
      </w:r>
    </w:p>
    <w:p>
      <w:pPr>
        <w:pStyle w:val="Normal"/>
        <w:numPr>
          <w:ilvl w:val="0"/>
          <w:numId w:val="2"/>
        </w:numPr>
        <w:tabs>
          <w:tab w:val="clear" w:pos="720"/>
        </w:tabs>
        <w:rPr>
          <w:color w:val="000000"/>
          <w:lang w:val="en-US" w:eastAsia="en-US"/>
        </w:rPr>
      </w:pPr>
      <w:r>
        <w:rPr>
          <w:color w:val="000000"/>
          <w:lang w:val="en-US" w:eastAsia="en-US"/>
        </w:rPr>
        <w:t>Several letters sent to the Minister of Energy &amp; Mines and his team transmitting similar message to our presentations during the Feb. 2 visit. In addition and as agreed with the Viceminister, a complete project description in Spanish (information memorandum) was sent to key individuals in the Ministry (including Minister and Viceminister). This document and the letter attached to it, serves as the official request for authorization to proceed with the project (this time directly from Enron). It includes, among other things, project history, structure, commercial relationship w/ PDVSA, technical aspects, the Atlantic basin market (demand and supply), competition (specially Trinidad, Nigeria) and the need for the project to immediately be approved</w:t>
      </w:r>
    </w:p>
    <w:p>
      <w:pPr>
        <w:pStyle w:val="Normal"/>
        <w:rPr>
          <w:color w:val="000000"/>
          <w:lang w:val="en-US" w:eastAsia="en-US"/>
        </w:rPr>
      </w:pPr>
      <w:r>
        <w:rPr>
          <w:color w:val="000000"/>
          <w:lang w:val="en-US" w:eastAsia="en-US"/>
        </w:rPr>
      </w:r>
    </w:p>
    <w:p>
      <w:pPr>
        <w:pStyle w:val="Normal"/>
        <w:numPr>
          <w:ilvl w:val="0"/>
          <w:numId w:val="2"/>
        </w:numPr>
        <w:tabs>
          <w:tab w:val="clear" w:pos="720"/>
        </w:tabs>
        <w:rPr>
          <w:color w:val="000000"/>
          <w:lang w:val="en-US" w:eastAsia="en-US"/>
        </w:rPr>
      </w:pPr>
      <w:r>
        <w:rPr>
          <w:color w:val="000000"/>
          <w:lang w:val="en-US" w:eastAsia="en-US"/>
        </w:rPr>
        <w:t>Maintained meetings with a number of PDVSA-Gas, PDVSA-Corp and PDVSA E&amp;P employees to discuss current gas situation. As expected, it was confirmed that in the short-term PDVSA is experiencing a gas shortest due to strong gas injection needs (approx. 600,000 MMBtu/day once a large reinjection project starts operations). As General Lameda indicated in our meeting, PDVSA (E&amp;P and Gas working together) is currently working in a number of areas to permanently solve this situation. Specific efforts underway are:</w:t>
      </w:r>
    </w:p>
    <w:p>
      <w:pPr>
        <w:pStyle w:val="Normal"/>
        <w:numPr>
          <w:ilvl w:val="0"/>
          <w:numId w:val="1"/>
        </w:numPr>
        <w:tabs>
          <w:tab w:val="left" w:pos="720" w:leader="none"/>
        </w:tabs>
        <w:ind w:hanging="360" w:start="720" w:end="0"/>
        <w:rPr>
          <w:color w:val="000000"/>
          <w:lang w:val="en-US" w:eastAsia="en-US"/>
        </w:rPr>
      </w:pPr>
      <w:r>
        <w:rPr>
          <w:color w:val="000000"/>
          <w:lang w:val="en-US" w:eastAsia="en-US"/>
        </w:rPr>
        <w:t>Continue to properly develop the gas rich Anaco region. In the last two years, and after a proper plan was established, Anaco has triple its production from 400,000MMBtu/day to 1,200,000MMBtu/day. This is expected to continue as incentives to look for gas and produce it are greater</w:t>
      </w:r>
    </w:p>
    <w:p>
      <w:pPr>
        <w:pStyle w:val="Normal"/>
        <w:numPr>
          <w:ilvl w:val="0"/>
          <w:numId w:val="1"/>
        </w:numPr>
        <w:tabs>
          <w:tab w:val="left" w:pos="720" w:leader="none"/>
        </w:tabs>
        <w:ind w:hanging="360" w:start="720" w:end="0"/>
        <w:rPr>
          <w:color w:val="000000"/>
          <w:lang w:val="en-US" w:eastAsia="en-US"/>
        </w:rPr>
      </w:pPr>
      <w:r>
        <w:rPr>
          <w:color w:val="000000"/>
          <w:lang w:val="en-US" w:eastAsia="en-US"/>
        </w:rPr>
        <w:t>Contract w/ Operating Agreements for delivery of gas to the system. The first of these agreements was announced on Feb. 3, for 270MMscf/d with Repsol in the Quiriquire area. Additional contracts with OAs will be signed in the near future</w:t>
      </w:r>
    </w:p>
    <w:p>
      <w:pPr>
        <w:pStyle w:val="Normal"/>
        <w:numPr>
          <w:ilvl w:val="0"/>
          <w:numId w:val="1"/>
        </w:numPr>
        <w:tabs>
          <w:tab w:val="left" w:pos="720" w:leader="none"/>
        </w:tabs>
        <w:ind w:hanging="360" w:start="720" w:end="0"/>
        <w:rPr>
          <w:color w:val="000000"/>
          <w:lang w:val="en-US" w:eastAsia="en-US"/>
        </w:rPr>
      </w:pPr>
      <w:r>
        <w:rPr>
          <w:color w:val="000000"/>
          <w:lang w:val="en-US" w:eastAsia="en-US"/>
        </w:rPr>
        <w:t>Exploration and production of large off-shore gas areas (specifically Plataforma Deltana). Money is already budgeted and massive gas reserves have been proven in the Trinidad side already. Over 1,000,000MMBtu/day is expected to come from just this area</w:t>
      </w:r>
    </w:p>
    <w:p>
      <w:pPr>
        <w:pStyle w:val="BodyText"/>
        <w:numPr>
          <w:ilvl w:val="0"/>
          <w:numId w:val="1"/>
        </w:numPr>
        <w:tabs>
          <w:tab w:val="left" w:pos="720" w:leader="none"/>
        </w:tabs>
        <w:ind w:hanging="360" w:start="720" w:end="0"/>
        <w:rPr/>
      </w:pPr>
      <w:r>
        <w:rPr/>
        <w:t>Nitrogen use for reinjection. A first and immediate phase will be for 300MMscf/day, with a second and third phase for 300MMscf/day each. First train will be in operations in approx. 18 months</w:t>
      </w:r>
    </w:p>
    <w:p>
      <w:pPr>
        <w:pStyle w:val="Normal"/>
        <w:numPr>
          <w:ilvl w:val="0"/>
          <w:numId w:val="1"/>
        </w:numPr>
        <w:tabs>
          <w:tab w:val="clear" w:pos="720"/>
        </w:tabs>
        <w:ind w:hanging="360" w:start="720" w:end="0"/>
        <w:rPr>
          <w:color w:val="000000"/>
          <w:lang w:val="en-US" w:eastAsia="en-US"/>
        </w:rPr>
      </w:pPr>
      <w:r>
        <w:rPr>
          <w:color w:val="000000"/>
          <w:lang w:val="en-US" w:eastAsia="en-US"/>
        </w:rPr>
        <w:t>Licensing round for on-shore gas areas. Gas tariffs are coming out early next week increasing the price of gas to a more reasonable level to give incentives to producers. This areas are a combination of exploration and development efforts</w:t>
      </w:r>
    </w:p>
    <w:p>
      <w:pPr>
        <w:pStyle w:val="Normal"/>
        <w:numPr>
          <w:ilvl w:val="0"/>
          <w:numId w:val="1"/>
        </w:numPr>
        <w:tabs>
          <w:tab w:val="clear" w:pos="720"/>
        </w:tabs>
        <w:ind w:hanging="360" w:start="720" w:end="0"/>
        <w:rPr>
          <w:color w:val="000000"/>
          <w:lang w:val="en-US" w:eastAsia="en-US"/>
        </w:rPr>
      </w:pPr>
      <w:r>
        <w:rPr>
          <w:color w:val="000000"/>
          <w:lang w:val="en-US" w:eastAsia="en-US"/>
        </w:rPr>
        <w:t>Transformation of some old and future thermo-generation and other gas users to other fuels (including orimulsion and petroleum coke)</w:t>
      </w:r>
    </w:p>
    <w:p>
      <w:pPr>
        <w:pStyle w:val="Normal"/>
        <w:numPr>
          <w:ilvl w:val="0"/>
          <w:numId w:val="1"/>
        </w:numPr>
        <w:tabs>
          <w:tab w:val="clear" w:pos="720"/>
        </w:tabs>
        <w:ind w:hanging="360" w:start="720" w:end="0"/>
        <w:rPr>
          <w:color w:val="000000"/>
          <w:lang w:val="en-US" w:eastAsia="en-US"/>
        </w:rPr>
      </w:pPr>
      <w:r>
        <w:rPr>
          <w:color w:val="000000"/>
          <w:lang w:val="en-US" w:eastAsia="en-US"/>
        </w:rPr>
        <w:t>Rational use of gas for fuel in PDVSA’s activities in the country</w:t>
      </w:r>
    </w:p>
    <w:p>
      <w:pPr>
        <w:pStyle w:val="Normal"/>
        <w:rPr>
          <w:color w:val="000000"/>
          <w:lang w:val="en-US" w:eastAsia="en-US"/>
        </w:rPr>
      </w:pPr>
      <w:r>
        <w:rPr>
          <w:color w:val="000000"/>
          <w:lang w:val="en-US" w:eastAsia="en-US"/>
        </w:rPr>
      </w:r>
    </w:p>
    <w:p>
      <w:pPr>
        <w:pStyle w:val="Normal"/>
        <w:numPr>
          <w:ilvl w:val="0"/>
          <w:numId w:val="2"/>
        </w:numPr>
        <w:tabs>
          <w:tab w:val="clear" w:pos="720"/>
        </w:tabs>
        <w:rPr>
          <w:color w:val="000000"/>
          <w:lang w:val="en-US" w:eastAsia="en-US"/>
        </w:rPr>
      </w:pPr>
      <w:r>
        <w:rPr>
          <w:color w:val="000000"/>
          <w:lang w:val="en-US" w:eastAsia="en-US"/>
        </w:rPr>
        <w:t>A meeting with both, PDVSA E&amp;P and PDVSA Gas to study mid and long-term gas balance issues will be scheduled for the next few weeks. PDVSA E&amp;P recommended this meeting in order to clear up any doubts in terms of the ability of PDVSA to deliver on its obligation to the project. Meetings with PDVSA E&amp;P show that they are cooperating in solving the short-term gas issue and that they see the project as a solid development for the country. They recommended to keep the Ministry as informed as possible and to provide as much options as possible to get their approval.</w:t>
      </w:r>
    </w:p>
    <w:p>
      <w:pPr>
        <w:pStyle w:val="Normal"/>
        <w:rPr>
          <w:color w:val="000000"/>
          <w:lang w:val="en-US" w:eastAsia="en-US"/>
        </w:rPr>
      </w:pPr>
      <w:r>
        <w:rPr>
          <w:color w:val="000000"/>
          <w:lang w:val="en-US" w:eastAsia="en-US"/>
        </w:rPr>
      </w:r>
    </w:p>
    <w:p>
      <w:pPr>
        <w:pStyle w:val="Normal"/>
        <w:numPr>
          <w:ilvl w:val="0"/>
          <w:numId w:val="2"/>
        </w:numPr>
        <w:tabs>
          <w:tab w:val="clear" w:pos="720"/>
        </w:tabs>
        <w:rPr>
          <w:color w:val="000000"/>
          <w:lang w:val="en-US" w:eastAsia="en-US"/>
        </w:rPr>
      </w:pPr>
      <w:r>
        <w:rPr>
          <w:color w:val="000000"/>
          <w:lang w:val="en-US" w:eastAsia="en-US"/>
        </w:rPr>
        <w:t>The selection process for a FEED contractor to compete with EECC/ BVPI is nearing conclusion and will be presented next week. The raw quotations were a lump sum $5.08 million proposal from KBR (Kellogg Brown and Root) / JGC in a six month schedule and a lump sum $7 million proposal from Bechtel in a five to six month schedule. The evaluation is considering these factors, as well as the proposed staff experience, willingness to assume the requisite levels of liabilities in an EPC contract and an in-house estimation of the eventual EPC turnkey cost that could result from the two contractors. Both contractors gave qualified proposals with good experience in both LNG and in Venezuela</w:t>
      </w:r>
    </w:p>
    <w:p>
      <w:pPr>
        <w:pStyle w:val="Normal"/>
        <w:rPr>
          <w:color w:val="000000"/>
          <w:lang w:val="en-US" w:eastAsia="en-US"/>
        </w:rPr>
      </w:pPr>
      <w:r>
        <w:rPr>
          <w:color w:val="000000"/>
          <w:lang w:val="en-US" w:eastAsia="en-US"/>
        </w:rPr>
      </w:r>
    </w:p>
    <w:p>
      <w:pPr>
        <w:pStyle w:val="Normal"/>
        <w:numPr>
          <w:ilvl w:val="0"/>
          <w:numId w:val="2"/>
        </w:numPr>
        <w:tabs>
          <w:tab w:val="clear" w:pos="720"/>
        </w:tabs>
        <w:rPr>
          <w:rFonts w:ascii="Arial" w:hAnsi="Arial" w:cs="Arial"/>
        </w:rPr>
      </w:pPr>
      <w:r>
        <w:rPr>
          <w:color w:val="000000"/>
          <w:lang w:val="en-US" w:eastAsia="en-US"/>
        </w:rPr>
        <w:t xml:space="preserve">Met with a number of project finance banks to get update on financial market conditions for Venezuela and assess financing options for the project. We believe a financing window will exist late 2001 / early 2002 for this project. Also, internally and with the banks began to explore a couple of areas of project structure that we want to break new ground with in the financing. These areas are the lack of an EPC completion guarantee and the flexibility of Enron to rapidly sell down its equity position in the facility. Finally, we are </w:t>
      </w:r>
      <w:r>
        <w:rPr>
          <w:lang w:val="en-US" w:eastAsia="en-US"/>
        </w:rPr>
        <w:t>working with accounting to determine optimal structure and evaluating potential equity candidates for '01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 w:hAnsi="Helv" w:eastAsia="Times New Roman" w:cs="Helv"/>
      <w:color w:val="auto"/>
      <w:sz w:val="20"/>
      <w:szCs w:val="20"/>
      <w:lang w:val="es-VE" w:eastAsia="zh-CN" w:bidi="hi-I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10z0">
    <w:name w:val="WW8Num10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2001-02-16T19:08:00Z</dcterms:created>
  <dc:creator>gblack</dc:creator>
  <dc:description/>
  <dc:language>en-CA</dc:language>
  <cp:lastModifiedBy>gblack</cp:lastModifiedBy>
  <dcterms:modified xsi:type="dcterms:W3CDTF">2001-02-18T13:56:00Z</dcterms:modified>
  <cp:revision>5</cp:revision>
  <dc:subject/>
  <dc:title>JOSE LNG PROJECT</dc:title>
</cp:coreProperties>
</file>