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b w:val="false"/>
          <w:sz w:val="20"/>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b/>
          <w:sz w:val="24"/>
        </w:rPr>
      </w:pPr>
      <w:r>
        <w:rPr>
          <w:b/>
          <w:sz w:val="24"/>
        </w:rPr>
      </w:r>
    </w:p>
    <w:p>
      <w:pPr>
        <w:pStyle w:val="Normal"/>
        <w:rPr>
          <w:sz w:val="24"/>
        </w:rPr>
      </w:pPr>
      <w:r>
        <w:rPr>
          <w:sz w:val="24"/>
        </w:rPr>
      </w:r>
    </w:p>
    <w:p>
      <w:pPr>
        <w:pStyle w:val="Heading1"/>
        <w:pBdr>
          <w:top w:val="single" w:sz="18" w:space="1" w:color="000000"/>
        </w:pBdr>
        <w:spacing w:before="0" w:after="240"/>
        <w:ind w:hanging="0" w:start="0"/>
        <w:rPr>
          <w:u w:val="none"/>
        </w:rPr>
      </w:pPr>
      <w:r>
        <w:rPr>
          <w:u w:val="none"/>
        </w:rPr>
        <w:t>Facsimile Cover Sheet</w:t>
      </w:r>
    </w:p>
    <w:p>
      <w:pPr>
        <w:pStyle w:val="Normal"/>
        <w:rPr>
          <w:sz w:val="24"/>
          <w:u w:val="none"/>
        </w:rPr>
      </w:pPr>
      <w:r>
        <w:rPr>
          <w:sz w:val="24"/>
          <w:u w:val="none"/>
        </w:rPr>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4"/>
              </w:rPr>
            </w:pPr>
            <w:r>
              <w:rPr>
                <w:b/>
                <w:sz w:val="24"/>
              </w:rPr>
              <w:t>To:</w:t>
            </w:r>
          </w:p>
        </w:tc>
        <w:tc>
          <w:tcPr>
            <w:tcW w:w="4770" w:type="dxa"/>
            <w:tcBorders/>
          </w:tcPr>
          <w:p>
            <w:pPr>
              <w:pStyle w:val="To"/>
              <w:rPr>
                <w:sz w:val="24"/>
              </w:rPr>
            </w:pPr>
            <w:bookmarkStart w:id="0" w:name="To"/>
            <w:bookmarkEnd w:id="0"/>
            <w:r>
              <w:rPr>
                <w:sz w:val="24"/>
              </w:rPr>
              <w:t xml:space="preserve">Joel Cook </w:t>
            </w:r>
          </w:p>
        </w:tc>
      </w:tr>
      <w:tr>
        <w:trPr/>
        <w:tc>
          <w:tcPr>
            <w:tcW w:w="3168" w:type="dxa"/>
            <w:tcBorders/>
          </w:tcPr>
          <w:p>
            <w:pPr>
              <w:pStyle w:val="Normal"/>
              <w:jc w:val="end"/>
              <w:rPr>
                <w:b/>
                <w:sz w:val="24"/>
              </w:rPr>
            </w:pPr>
            <w:r>
              <w:rPr>
                <w:b/>
                <w:sz w:val="24"/>
              </w:rPr>
              <w:t>Company:</w:t>
            </w:r>
          </w:p>
        </w:tc>
        <w:tc>
          <w:tcPr>
            <w:tcW w:w="4770" w:type="dxa"/>
            <w:tcBorders/>
          </w:tcPr>
          <w:p>
            <w:pPr>
              <w:pStyle w:val="ToCompany"/>
              <w:rPr>
                <w:sz w:val="24"/>
              </w:rPr>
            </w:pPr>
            <w:bookmarkStart w:id="1" w:name="ToCompany"/>
            <w:bookmarkEnd w:id="1"/>
            <w:r>
              <w:rPr>
                <w:sz w:val="24"/>
              </w:rPr>
              <w:t>PPL Energy Plus, LLC</w:t>
            </w:r>
          </w:p>
        </w:tc>
      </w:tr>
      <w:tr>
        <w:trPr/>
        <w:tc>
          <w:tcPr>
            <w:tcW w:w="3168" w:type="dxa"/>
            <w:tcBorders/>
          </w:tcPr>
          <w:p>
            <w:pPr>
              <w:pStyle w:val="Normal"/>
              <w:jc w:val="end"/>
              <w:rPr>
                <w:b/>
                <w:sz w:val="24"/>
              </w:rPr>
            </w:pPr>
            <w:r>
              <w:rPr>
                <w:b/>
                <w:sz w:val="24"/>
              </w:rPr>
              <w:t>Phone:</w:t>
            </w:r>
          </w:p>
        </w:tc>
        <w:tc>
          <w:tcPr>
            <w:tcW w:w="4770" w:type="dxa"/>
            <w:tcBorders/>
          </w:tcPr>
          <w:p>
            <w:pPr>
              <w:pStyle w:val="ToPhone"/>
              <w:rPr>
                <w:sz w:val="24"/>
              </w:rPr>
            </w:pPr>
            <w:bookmarkStart w:id="2" w:name="ToPhone"/>
            <w:bookmarkEnd w:id="2"/>
            <w:r>
              <w:rPr>
                <w:sz w:val="24"/>
              </w:rPr>
              <w:t>(406) 533-3500</w:t>
            </w:r>
          </w:p>
        </w:tc>
      </w:tr>
      <w:tr>
        <w:trPr/>
        <w:tc>
          <w:tcPr>
            <w:tcW w:w="3168" w:type="dxa"/>
            <w:tcBorders/>
          </w:tcPr>
          <w:p>
            <w:pPr>
              <w:pStyle w:val="Normal"/>
              <w:jc w:val="end"/>
              <w:rPr>
                <w:b/>
                <w:sz w:val="24"/>
              </w:rPr>
            </w:pPr>
            <w:r>
              <w:rPr>
                <w:b/>
                <w:sz w:val="24"/>
              </w:rPr>
              <w:t>Fax:</w:t>
            </w:r>
          </w:p>
        </w:tc>
        <w:tc>
          <w:tcPr>
            <w:tcW w:w="4770" w:type="dxa"/>
            <w:tcBorders/>
          </w:tcPr>
          <w:p>
            <w:pPr>
              <w:pStyle w:val="ToFax"/>
              <w:rPr>
                <w:sz w:val="24"/>
              </w:rPr>
            </w:pPr>
            <w:bookmarkStart w:id="3" w:name="ToFax"/>
            <w:bookmarkEnd w:id="3"/>
            <w:r>
              <w:rPr>
                <w:sz w:val="24"/>
              </w:rPr>
              <w:t>(406) 533-0208</w:t>
            </w:r>
          </w:p>
        </w:tc>
      </w:tr>
      <w:tr>
        <w:trPr/>
        <w:tc>
          <w:tcPr>
            <w:tcW w:w="3168" w:type="dxa"/>
            <w:tcBorders/>
          </w:tcPr>
          <w:p>
            <w:pPr>
              <w:pStyle w:val="Normal"/>
              <w:spacing w:before="360" w:after="0"/>
              <w:jc w:val="end"/>
              <w:rPr>
                <w:b/>
                <w:sz w:val="24"/>
              </w:rPr>
            </w:pPr>
            <w:r>
              <w:rPr>
                <w:b/>
                <w:sz w:val="24"/>
              </w:rPr>
              <w:t>From:</w:t>
            </w:r>
          </w:p>
        </w:tc>
        <w:tc>
          <w:tcPr>
            <w:tcW w:w="4770" w:type="dxa"/>
            <w:tcBorders/>
          </w:tcPr>
          <w:p>
            <w:pPr>
              <w:pStyle w:val="From"/>
              <w:spacing w:before="360" w:after="0"/>
              <w:rPr>
                <w:sz w:val="24"/>
              </w:rPr>
            </w:pPr>
            <w:bookmarkStart w:id="4" w:name="From"/>
            <w:bookmarkEnd w:id="4"/>
            <w:r>
              <w:rPr>
                <w:sz w:val="24"/>
              </w:rPr>
              <w:t>John D. Malowney</w:t>
            </w:r>
          </w:p>
        </w:tc>
      </w:tr>
      <w:tr>
        <w:trPr/>
        <w:tc>
          <w:tcPr>
            <w:tcW w:w="3168" w:type="dxa"/>
            <w:tcBorders/>
          </w:tcPr>
          <w:p>
            <w:pPr>
              <w:pStyle w:val="Normal"/>
              <w:jc w:val="end"/>
              <w:rPr>
                <w:b/>
                <w:sz w:val="24"/>
              </w:rPr>
            </w:pPr>
            <w:r>
              <w:rPr>
                <w:b/>
                <w:sz w:val="24"/>
              </w:rPr>
              <w:t>Company:</w:t>
            </w:r>
          </w:p>
        </w:tc>
        <w:tc>
          <w:tcPr>
            <w:tcW w:w="4770" w:type="dxa"/>
            <w:tcBorders/>
          </w:tcPr>
          <w:p>
            <w:pPr>
              <w:pStyle w:val="FromCompany"/>
              <w:rPr>
                <w:sz w:val="24"/>
              </w:rPr>
            </w:pPr>
            <w:bookmarkStart w:id="5" w:name="FromCompany"/>
            <w:bookmarkEnd w:id="5"/>
            <w:r>
              <w:rPr>
                <w:sz w:val="24"/>
              </w:rPr>
              <w:t>Enron</w:t>
            </w:r>
          </w:p>
        </w:tc>
      </w:tr>
      <w:tr>
        <w:trPr/>
        <w:tc>
          <w:tcPr>
            <w:tcW w:w="3168" w:type="dxa"/>
            <w:tcBorders/>
          </w:tcPr>
          <w:p>
            <w:pPr>
              <w:pStyle w:val="Normal"/>
              <w:jc w:val="end"/>
              <w:rPr>
                <w:b/>
                <w:sz w:val="24"/>
              </w:rPr>
            </w:pPr>
            <w:r>
              <w:rPr>
                <w:b/>
                <w:sz w:val="24"/>
              </w:rPr>
              <w:t>Phone:</w:t>
            </w:r>
          </w:p>
        </w:tc>
        <w:tc>
          <w:tcPr>
            <w:tcW w:w="4770" w:type="dxa"/>
            <w:tcBorders/>
          </w:tcPr>
          <w:p>
            <w:pPr>
              <w:pStyle w:val="FromPhone"/>
              <w:rPr>
                <w:sz w:val="24"/>
              </w:rPr>
            </w:pPr>
            <w:bookmarkStart w:id="6" w:name="FromPhone"/>
            <w:bookmarkEnd w:id="6"/>
            <w:r>
              <w:rPr>
                <w:sz w:val="24"/>
              </w:rPr>
              <w:t>503-464-2270</w:t>
            </w:r>
          </w:p>
        </w:tc>
      </w:tr>
      <w:tr>
        <w:trPr/>
        <w:tc>
          <w:tcPr>
            <w:tcW w:w="3168" w:type="dxa"/>
            <w:tcBorders/>
          </w:tcPr>
          <w:p>
            <w:pPr>
              <w:pStyle w:val="Normal"/>
              <w:jc w:val="end"/>
              <w:rPr>
                <w:b/>
                <w:sz w:val="24"/>
              </w:rPr>
            </w:pPr>
            <w:r>
              <w:rPr>
                <w:b/>
                <w:sz w:val="24"/>
              </w:rPr>
              <w:t>Fax:</w:t>
            </w:r>
          </w:p>
        </w:tc>
        <w:tc>
          <w:tcPr>
            <w:tcW w:w="4770" w:type="dxa"/>
            <w:tcBorders/>
          </w:tcPr>
          <w:p>
            <w:pPr>
              <w:pStyle w:val="FromFax"/>
              <w:rPr>
                <w:sz w:val="24"/>
              </w:rPr>
            </w:pPr>
            <w:bookmarkStart w:id="7" w:name="FromFax"/>
            <w:bookmarkEnd w:id="7"/>
            <w:r>
              <w:rPr>
                <w:sz w:val="24"/>
              </w:rPr>
              <w:t>503-464-3740</w:t>
            </w:r>
          </w:p>
        </w:tc>
      </w:tr>
      <w:tr>
        <w:trPr/>
        <w:tc>
          <w:tcPr>
            <w:tcW w:w="3168" w:type="dxa"/>
            <w:tcBorders/>
          </w:tcPr>
          <w:p>
            <w:pPr>
              <w:pStyle w:val="Normal"/>
              <w:spacing w:before="360" w:after="0"/>
              <w:jc w:val="end"/>
              <w:rPr>
                <w:b/>
                <w:sz w:val="24"/>
              </w:rPr>
            </w:pPr>
            <w:r>
              <w:rPr>
                <w:b/>
                <w:sz w:val="24"/>
              </w:rPr>
              <w:t>Date:</w:t>
            </w:r>
          </w:p>
        </w:tc>
        <w:tc>
          <w:tcPr>
            <w:tcW w:w="4770" w:type="dxa"/>
            <w:tcBorders/>
          </w:tcPr>
          <w:p>
            <w:pPr>
              <w:pStyle w:val="Date"/>
              <w:spacing w:before="360" w:after="0"/>
              <w:rPr>
                <w:sz w:val="24"/>
              </w:rPr>
            </w:pPr>
            <w:bookmarkStart w:id="8" w:name="Date"/>
            <w:bookmarkEnd w:id="8"/>
            <w:r>
              <w:rPr>
                <w:sz w:val="24"/>
              </w:rPr>
              <w:t>March 1, 2001</w:t>
            </w:r>
          </w:p>
        </w:tc>
      </w:tr>
      <w:tr>
        <w:trPr/>
        <w:tc>
          <w:tcPr>
            <w:tcW w:w="3168" w:type="dxa"/>
            <w:tcBorders/>
          </w:tcPr>
          <w:p>
            <w:pPr>
              <w:pStyle w:val="Normal"/>
              <w:jc w:val="end"/>
              <w:rPr>
                <w:b/>
                <w:sz w:val="24"/>
              </w:rPr>
            </w:pPr>
            <w:r>
              <w:rPr>
                <w:b/>
                <w:sz w:val="24"/>
              </w:rPr>
              <w:t>Pages including this cover page:</w:t>
            </w:r>
          </w:p>
        </w:tc>
        <w:tc>
          <w:tcPr>
            <w:tcW w:w="4770" w:type="dxa"/>
            <w:tcBorders/>
          </w:tcPr>
          <w:p>
            <w:pPr>
              <w:pStyle w:val="Pages"/>
              <w:rPr>
                <w:sz w:val="24"/>
              </w:rPr>
            </w:pPr>
            <w:bookmarkStart w:id="9" w:name="Pages"/>
            <w:bookmarkEnd w:id="9"/>
            <w:r>
              <w:rPr>
                <w:sz w:val="24"/>
              </w:rPr>
              <w:t>Three</w:t>
            </w:r>
          </w:p>
        </w:tc>
      </w:tr>
    </w:tbl>
    <w:p>
      <w:pPr>
        <w:pStyle w:val="Normal"/>
        <w:rPr>
          <w:sz w:val="24"/>
        </w:rPr>
      </w:pPr>
      <w:r>
        <w:rPr>
          <w:sz w:val="24"/>
        </w:rPr>
      </w:r>
    </w:p>
    <w:p>
      <w:pPr>
        <w:pStyle w:val="Normal"/>
        <w:rPr>
          <w:sz w:val="24"/>
        </w:rPr>
      </w:pPr>
      <w:r>
        <w:rPr>
          <w:sz w:val="24"/>
        </w:rPr>
        <w:t xml:space="preserve">Comments: Joel, I appreciate your attention to detail so I’ve taken the time to put our proposed structure in writing.  As I do with all of my counter-parties, if the attached proposal is acceptable, please indicate so by simply returning the fax and indicating your acceptance and we’ll have our Houston office issue an official confirm as soon as possible.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r>
    </w:p>
    <w:p>
      <w:pPr>
        <w:pStyle w:val="Normal"/>
        <w:jc w:val="center"/>
        <w:rPr>
          <w:b/>
          <w:i/>
          <w:i/>
        </w:rPr>
      </w:pPr>
      <w:r>
        <w:rPr>
          <w:b/>
          <w:i/>
        </w:rPr>
        <w:t>PROPOSED TERMS FOR</w:t>
      </w:r>
    </w:p>
    <w:p>
      <w:pPr>
        <w:pStyle w:val="Normal"/>
        <w:jc w:val="center"/>
        <w:rPr>
          <w:b/>
          <w:i/>
          <w:i/>
        </w:rPr>
      </w:pPr>
      <w:r>
        <w:rPr>
          <w:b/>
          <w:i/>
        </w:rPr>
        <w:t>Firm Energy Transaction</w:t>
      </w:r>
    </w:p>
    <w:p>
      <w:pPr>
        <w:pStyle w:val="Heading4"/>
        <w:ind w:hanging="0" w:start="0"/>
        <w:rPr/>
      </w:pPr>
      <w:r>
        <w:rPr/>
        <w:t>Between</w:t>
      </w:r>
    </w:p>
    <w:p>
      <w:pPr>
        <w:pStyle w:val="Normal"/>
        <w:jc w:val="center"/>
        <w:rPr>
          <w:b/>
          <w:i/>
          <w:i/>
        </w:rPr>
      </w:pPr>
      <w:r>
        <w:rPr>
          <w:b/>
          <w:i/>
        </w:rPr>
        <w:t xml:space="preserve">PPL EnergyPlus, LLC (PPL Montana)  </w:t>
      </w:r>
    </w:p>
    <w:p>
      <w:pPr>
        <w:pStyle w:val="Normal"/>
        <w:jc w:val="center"/>
        <w:rPr>
          <w:b/>
          <w:i/>
          <w:i/>
        </w:rPr>
      </w:pPr>
      <w:r>
        <w:rPr>
          <w:b/>
          <w:i/>
        </w:rPr>
        <w:t>And</w:t>
      </w:r>
    </w:p>
    <w:p>
      <w:pPr>
        <w:pStyle w:val="Normal"/>
        <w:jc w:val="center"/>
        <w:rPr>
          <w:b/>
          <w:i/>
          <w:i/>
        </w:rPr>
      </w:pPr>
      <w:r>
        <w:rPr>
          <w:b/>
          <w:i/>
        </w:rPr>
        <w:t>Enron Power Marketing, Inc. (EPMI)</w:t>
      </w:r>
    </w:p>
    <w:p>
      <w:pPr>
        <w:pStyle w:val="Normal"/>
        <w:rPr>
          <w:b/>
          <w:i/>
          <w:i/>
          <w:u w:val="single"/>
        </w:rPr>
      </w:pPr>
      <w:r>
        <w:rPr>
          <w:b/>
          <w:i/>
          <w:u w:val="single"/>
        </w:rPr>
      </w:r>
    </w:p>
    <w:p>
      <w:pPr>
        <w:pStyle w:val="Normal"/>
        <w:rPr>
          <w:b/>
          <w:i/>
          <w:i/>
          <w:u w:val="single"/>
        </w:rPr>
      </w:pPr>
      <w:r>
        <w:rPr>
          <w:b/>
          <w:i/>
          <w:u w:val="single"/>
        </w:rPr>
        <w:t>PURPOSE</w:t>
      </w:r>
    </w:p>
    <w:p>
      <w:pPr>
        <w:pStyle w:val="Normal"/>
        <w:rPr>
          <w:b/>
          <w:i/>
          <w:i/>
          <w:u w:val="single"/>
        </w:rPr>
      </w:pPr>
      <w:r>
        <w:rPr>
          <w:b/>
          <w:i/>
          <w:u w:val="single"/>
        </w:rPr>
      </w:r>
    </w:p>
    <w:p>
      <w:pPr>
        <w:pStyle w:val="Normal"/>
        <w:jc w:val="both"/>
        <w:rPr/>
      </w:pPr>
      <w:r>
        <w:rPr/>
        <w:t xml:space="preserve">This proposal outlines the general terms and conditions under which EPMI would enter into a sales agreement for firm energy with PPL Montana.   </w:t>
      </w:r>
    </w:p>
    <w:p>
      <w:pPr>
        <w:pStyle w:val="Normal"/>
        <w:jc w:val="both"/>
        <w:rPr/>
      </w:pPr>
      <w:r>
        <w:rPr/>
      </w:r>
    </w:p>
    <w:p>
      <w:pPr>
        <w:pStyle w:val="Normal"/>
        <w:jc w:val="both"/>
        <w:rPr/>
      </w:pPr>
      <w:r>
        <w:rPr/>
        <w:t xml:space="preserve">We appreciate PPL Montana’s interest in developing a mutually beneficial business relationship.   </w:t>
      </w:r>
    </w:p>
    <w:p>
      <w:pPr>
        <w:pStyle w:val="Normal"/>
        <w:jc w:val="both"/>
        <w:rPr/>
      </w:pPr>
      <w:r>
        <w:rPr/>
      </w:r>
    </w:p>
    <w:p>
      <w:pPr>
        <w:pStyle w:val="Normal"/>
        <w:jc w:val="both"/>
        <w:rPr/>
      </w:pPr>
      <w:r>
        <w:rPr/>
      </w:r>
    </w:p>
    <w:p>
      <w:pPr>
        <w:pStyle w:val="Normal"/>
        <w:jc w:val="both"/>
        <w:rPr/>
      </w:pPr>
      <w:r>
        <w:rPr/>
      </w:r>
    </w:p>
    <w:p>
      <w:pPr>
        <w:pStyle w:val="Normal"/>
        <w:rPr>
          <w:b/>
          <w:i/>
          <w:i/>
          <w:u w:val="single"/>
        </w:rPr>
      </w:pPr>
      <w:r>
        <w:rPr>
          <w:b/>
          <w:i/>
          <w:u w:val="single"/>
        </w:rPr>
        <w:t>COMMODITY ENERGY TRANSACTION WITH PPL Montana</w:t>
      </w:r>
    </w:p>
    <w:p>
      <w:pPr>
        <w:pStyle w:val="Header"/>
        <w:tabs>
          <w:tab w:val="clear" w:pos="4320"/>
          <w:tab w:val="clear" w:pos="8640"/>
        </w:tabs>
        <w:rPr>
          <w:b/>
          <w:i/>
          <w:i/>
          <w:u w:val="single"/>
        </w:rPr>
      </w:pPr>
      <w:r>
        <w:rPr>
          <w:b/>
          <w:i/>
          <w:u w:val="single"/>
        </w:rPr>
      </w:r>
    </w:p>
    <w:p>
      <w:pPr>
        <w:pStyle w:val="Header"/>
        <w:tabs>
          <w:tab w:val="clear" w:pos="4320"/>
          <w:tab w:val="clear" w:pos="8640"/>
        </w:tabs>
        <w:rPr/>
      </w:pPr>
      <w:r>
        <w:rPr/>
      </w:r>
    </w:p>
    <w:p>
      <w:pPr>
        <w:pStyle w:val="Heading5"/>
        <w:ind w:hanging="0" w:start="0"/>
        <w:rPr/>
      </w:pPr>
      <w:r>
        <w:rPr/>
        <w:t>MONTANA FACILITIES ONLY</w:t>
      </w:r>
    </w:p>
    <w:p>
      <w:pPr>
        <w:pStyle w:val="Header"/>
        <w:tabs>
          <w:tab w:val="clear" w:pos="4320"/>
          <w:tab w:val="clear" w:pos="8640"/>
        </w:tabs>
        <w:rPr/>
      </w:pPr>
      <w:r>
        <w:rPr/>
      </w:r>
    </w:p>
    <w:p>
      <w:pPr>
        <w:pStyle w:val="Normal"/>
        <w:ind w:hanging="2160" w:start="2160" w:end="0"/>
        <w:jc w:val="both"/>
        <w:rPr/>
      </w:pPr>
      <w:r>
        <w:rPr/>
        <w:t>Counter Parties:</w:t>
        <w:tab/>
        <w:t>EPMI and PPL Montana</w:t>
      </w:r>
    </w:p>
    <w:p>
      <w:pPr>
        <w:pStyle w:val="Normal"/>
        <w:ind w:hanging="2160" w:start="2160" w:end="0"/>
        <w:jc w:val="both"/>
        <w:rPr/>
      </w:pPr>
      <w:r>
        <w:rPr/>
      </w:r>
    </w:p>
    <w:p>
      <w:pPr>
        <w:pStyle w:val="Normal"/>
        <w:ind w:hanging="2160" w:start="2160" w:end="0"/>
        <w:jc w:val="both"/>
        <w:rPr/>
      </w:pPr>
      <w:r>
        <w:rPr/>
        <w:t>Contract Quantity:</w:t>
        <w:tab/>
        <w:t>Twenty-five (25) MW/hr.</w:t>
      </w:r>
      <w:r>
        <w:rPr>
          <w:sz w:val="22"/>
        </w:rPr>
        <w:t xml:space="preserve"> </w:t>
      </w:r>
    </w:p>
    <w:p>
      <w:pPr>
        <w:pStyle w:val="Normal"/>
        <w:ind w:hanging="2160" w:start="2160" w:end="0"/>
        <w:jc w:val="both"/>
        <w:rPr/>
      </w:pPr>
      <w:r>
        <w:rPr/>
      </w:r>
    </w:p>
    <w:p>
      <w:pPr>
        <w:pStyle w:val="Normal"/>
        <w:ind w:hanging="2160" w:start="2160" w:end="0"/>
        <w:jc w:val="both"/>
        <w:rPr/>
      </w:pPr>
      <w:r>
        <w:rPr/>
        <w:t>Load Factor:</w:t>
        <w:tab/>
        <w:t>100 % (“flat”) for all hours.</w:t>
      </w:r>
    </w:p>
    <w:p>
      <w:pPr>
        <w:pStyle w:val="Normal"/>
        <w:ind w:hanging="2160" w:start="2160" w:end="0"/>
        <w:jc w:val="both"/>
        <w:rPr/>
      </w:pPr>
      <w:r>
        <w:rPr/>
      </w:r>
    </w:p>
    <w:p>
      <w:pPr>
        <w:pStyle w:val="Normal"/>
        <w:ind w:hanging="2160" w:start="2160" w:end="0"/>
        <w:jc w:val="both"/>
        <w:rPr/>
      </w:pPr>
      <w:r>
        <w:rPr/>
        <w:t>Term:</w:t>
        <w:tab/>
        <w:t>Commencing as soon as contractually possible (see reference to the Governing Master Agreement below) and continuing through August 31, 2005.</w:t>
      </w:r>
    </w:p>
    <w:p>
      <w:pPr>
        <w:pStyle w:val="Normal"/>
        <w:ind w:hanging="2160" w:start="2160" w:end="0"/>
        <w:jc w:val="both"/>
        <w:rPr/>
      </w:pPr>
      <w:r>
        <w:rPr/>
      </w:r>
    </w:p>
    <w:p>
      <w:pPr>
        <w:pStyle w:val="Normal"/>
        <w:ind w:hanging="2160" w:start="2160" w:end="0"/>
        <w:jc w:val="both"/>
        <w:rPr/>
      </w:pPr>
      <w:r>
        <w:rPr/>
        <w:t xml:space="preserve">Transmission: </w:t>
        <w:tab/>
        <w:t xml:space="preserve">There is no transmission associated with this transaction.  </w:t>
      </w:r>
    </w:p>
    <w:p>
      <w:pPr>
        <w:pStyle w:val="Normal"/>
        <w:ind w:hanging="2160" w:start="2160" w:end="0"/>
        <w:jc w:val="both"/>
        <w:rPr>
          <w:rFonts w:eastAsia="Arial"/>
        </w:rPr>
      </w:pPr>
      <w:r>
        <w:rPr>
          <w:rFonts w:eastAsia="Arial"/>
        </w:rPr>
        <w:t xml:space="preserve"> </w:t>
      </w:r>
    </w:p>
    <w:p>
      <w:pPr>
        <w:pStyle w:val="Normal"/>
        <w:ind w:hanging="2160" w:start="2160" w:end="0"/>
        <w:jc w:val="both"/>
        <w:rPr/>
      </w:pPr>
      <w:r>
        <w:rPr/>
        <w:t>Taxes:</w:t>
        <w:tab/>
        <w:t>Each counterparty will be responsible for any existing and or proposed taxes associated with their energy supply.</w:t>
      </w:r>
    </w:p>
    <w:p>
      <w:pPr>
        <w:pStyle w:val="Normal"/>
        <w:ind w:hanging="2160" w:start="2160" w:end="0"/>
        <w:jc w:val="both"/>
        <w:rPr/>
      </w:pPr>
      <w:r>
        <w:rPr/>
      </w:r>
    </w:p>
    <w:p>
      <w:pPr>
        <w:pStyle w:val="Normal"/>
        <w:ind w:hanging="2160" w:start="2160" w:end="0"/>
        <w:jc w:val="both"/>
        <w:rPr/>
      </w:pPr>
      <w:r>
        <w:rPr/>
        <w:t xml:space="preserve">Losses: </w:t>
        <w:tab/>
        <w:t>Each counterparty will be responsible for the associated losses of the energy they are supplying up to the designated point of delivery.</w:t>
      </w:r>
    </w:p>
    <w:p>
      <w:pPr>
        <w:pStyle w:val="Normal"/>
        <w:ind w:hanging="2160" w:start="2160" w:end="0"/>
        <w:jc w:val="both"/>
        <w:rPr/>
      </w:pPr>
      <w:r>
        <w:rPr/>
      </w:r>
    </w:p>
    <w:p>
      <w:pPr>
        <w:pStyle w:val="Normal"/>
        <w:ind w:hanging="2160" w:start="2160" w:end="0"/>
        <w:jc w:val="both"/>
        <w:rPr/>
      </w:pPr>
      <w:r>
        <w:rPr/>
        <w:t>Point of Delivery:</w:t>
        <w:tab/>
        <w:t xml:space="preserve">EPMI shall receive energy from PPL Montana at any non-congested source of generation within the Montana Power Company (MPC) control area.  PPL Montana shall receive energy from EPMI at any one of the non-congested thirteen points of inter-connect considered to be the Mid-Columbia. </w:t>
      </w:r>
    </w:p>
    <w:p>
      <w:pPr>
        <w:pStyle w:val="Normal"/>
        <w:ind w:hanging="2160" w:start="2160" w:end="0"/>
        <w:jc w:val="both"/>
        <w:rPr>
          <w:rFonts w:eastAsia="Arial"/>
        </w:rPr>
      </w:pPr>
      <w:r>
        <w:rPr>
          <w:rFonts w:eastAsia="Arial"/>
        </w:rPr>
        <w:t xml:space="preserve"> </w:t>
      </w:r>
    </w:p>
    <w:p>
      <w:pPr>
        <w:pStyle w:val="Normal"/>
        <w:ind w:hanging="2160" w:start="2160" w:end="0"/>
        <w:jc w:val="both"/>
        <w:rPr/>
      </w:pPr>
      <w:r>
        <w:rPr/>
        <w:t>Scheduling:</w:t>
        <w:tab/>
        <w:t>PPL Montana and EPMI would agree on scheduling provisions consistent with WSCC industry standard practice.</w:t>
      </w:r>
    </w:p>
    <w:p>
      <w:pPr>
        <w:pStyle w:val="Normal"/>
        <w:ind w:hanging="2160" w:start="2160" w:end="0"/>
        <w:jc w:val="both"/>
        <w:rPr/>
      </w:pPr>
      <w:r>
        <w:rPr/>
      </w:r>
    </w:p>
    <w:p>
      <w:pPr>
        <w:pStyle w:val="Normal"/>
        <w:ind w:hanging="2160" w:start="2160" w:end="0"/>
        <w:jc w:val="both"/>
        <w:rPr/>
      </w:pPr>
      <w:r>
        <w:rPr/>
        <w:t>Pricing:</w:t>
        <w:tab/>
        <w:t>PPL Montana shall pay EPMI $1.75/MWh.</w:t>
      </w:r>
    </w:p>
    <w:p>
      <w:pPr>
        <w:pStyle w:val="Normal"/>
        <w:ind w:hanging="2160" w:start="2160" w:end="0"/>
        <w:jc w:val="both"/>
        <w:rPr/>
      </w:pPr>
      <w:r>
        <w:rPr/>
      </w:r>
    </w:p>
    <w:p>
      <w:pPr>
        <w:pStyle w:val="Normal"/>
        <w:ind w:hanging="2160" w:start="2160" w:end="0"/>
        <w:jc w:val="both"/>
        <w:rPr/>
      </w:pPr>
      <w:r>
        <w:rPr/>
      </w:r>
    </w:p>
    <w:p>
      <w:pPr>
        <w:pStyle w:val="NormalIndent"/>
        <w:widowControl/>
        <w:ind w:start="0" w:end="0"/>
        <w:rPr/>
      </w:pPr>
      <w:r>
        <w:rPr/>
      </w:r>
    </w:p>
    <w:p>
      <w:pPr>
        <w:pStyle w:val="Heading9"/>
        <w:rPr/>
      </w:pPr>
      <w:r>
        <w:rPr/>
        <w:t>CONTACT PERSON</w:t>
      </w:r>
    </w:p>
    <w:p>
      <w:pPr>
        <w:pStyle w:val="Normal"/>
        <w:ind w:hanging="180" w:start="180" w:end="0"/>
        <w:rPr/>
      </w:pPr>
      <w:r>
        <w:rPr/>
      </w:r>
    </w:p>
    <w:p>
      <w:pPr>
        <w:pStyle w:val="Normal"/>
        <w:rPr/>
      </w:pPr>
      <w:r>
        <w:rPr/>
        <w:t>All questions or comments regarding this proposal should be addressed to:</w:t>
      </w:r>
    </w:p>
    <w:p>
      <w:pPr>
        <w:pStyle w:val="Normal"/>
        <w:rPr/>
      </w:pPr>
      <w:r>
        <w:rPr/>
      </w:r>
    </w:p>
    <w:p>
      <w:pPr>
        <w:pStyle w:val="Normal"/>
        <w:rPr/>
      </w:pPr>
      <w:r>
        <w:rPr/>
        <w:t>John D. Malowney, Manager</w:t>
      </w:r>
    </w:p>
    <w:p>
      <w:pPr>
        <w:pStyle w:val="Normal"/>
        <w:rPr/>
      </w:pPr>
      <w:r>
        <w:rPr/>
        <w:t>Enron North America</w:t>
      </w:r>
    </w:p>
    <w:p>
      <w:pPr>
        <w:pStyle w:val="Normal"/>
        <w:rPr/>
      </w:pPr>
      <w:r>
        <w:rPr/>
        <w:t>121 SW Salmon, Suite 0305</w:t>
      </w:r>
    </w:p>
    <w:p>
      <w:pPr>
        <w:pStyle w:val="Normal"/>
        <w:rPr/>
      </w:pPr>
      <w:r>
        <w:rPr/>
        <w:t>Portland, OR  97204</w:t>
      </w:r>
    </w:p>
    <w:p>
      <w:pPr>
        <w:pStyle w:val="Normal"/>
        <w:rPr/>
      </w:pPr>
      <w:r>
        <w:rPr/>
        <w:t>Phone: (503) 464-2270</w:t>
      </w:r>
    </w:p>
    <w:p>
      <w:pPr>
        <w:pStyle w:val="Normal"/>
        <w:rPr/>
      </w:pPr>
      <w:r>
        <w:rPr/>
        <w:t>Fax: (503) 464-3740</w:t>
      </w:r>
    </w:p>
    <w:p>
      <w:pPr>
        <w:pStyle w:val="Normal"/>
        <w:rPr/>
      </w:pPr>
      <w:r>
        <w:rPr/>
        <w:t xml:space="preserve">E-mail: </w:t>
      </w:r>
      <w:hyperlink r:id="rId3">
        <w:r>
          <w:rPr>
            <w:rStyle w:val="Hyperlink"/>
          </w:rPr>
          <w:t>john.malowney@enron.com</w:t>
        </w:r>
      </w:hyperlink>
    </w:p>
    <w:p>
      <w:pPr>
        <w:pStyle w:val="Normal"/>
        <w:rPr/>
      </w:pPr>
      <w:r>
        <w:rPr/>
      </w:r>
    </w:p>
    <w:p>
      <w:pPr>
        <w:pStyle w:val="Normal"/>
        <w:rPr/>
      </w:pPr>
      <w:r>
        <w:rPr/>
      </w:r>
    </w:p>
    <w:p>
      <w:pPr>
        <w:pStyle w:val="Normal"/>
        <w:rPr/>
      </w:pPr>
      <w:r>
        <w:rPr/>
      </w:r>
    </w:p>
    <w:p>
      <w:pPr>
        <w:pStyle w:val="Normal"/>
        <w:ind w:hanging="180" w:start="180" w:end="0"/>
        <w:rPr>
          <w:b/>
          <w:i/>
          <w:i/>
          <w:u w:val="single"/>
        </w:rPr>
      </w:pPr>
      <w:r>
        <w:rPr>
          <w:b/>
          <w:i/>
          <w:u w:val="single"/>
        </w:rPr>
        <w:t>ELECTRICAL ENERGY PRICING</w:t>
      </w:r>
    </w:p>
    <w:p>
      <w:pPr>
        <w:pStyle w:val="Normal"/>
        <w:ind w:hanging="180" w:start="180" w:end="0"/>
        <w:rPr>
          <w:b/>
          <w:i/>
          <w:i/>
          <w:u w:val="single"/>
        </w:rPr>
      </w:pPr>
      <w:r>
        <w:rPr>
          <w:b/>
          <w:i/>
          <w:u w:val="single"/>
        </w:rPr>
      </w:r>
    </w:p>
    <w:p>
      <w:pPr>
        <w:pStyle w:val="Normal"/>
        <w:jc w:val="both"/>
        <w:rPr/>
      </w:pPr>
      <w:r>
        <w:rPr/>
        <w:t xml:space="preserve">The aforementioned pricing would be effective upon a specific date and would be subject to decreases or increases as market conditions change up to the date of execution of a contract between PPL Montana and EPMI. </w:t>
      </w:r>
    </w:p>
    <w:p>
      <w:pPr>
        <w:pStyle w:val="Normal"/>
        <w:ind w:hanging="2160" w:start="2160" w:end="0"/>
        <w:jc w:val="both"/>
        <w:rPr/>
      </w:pPr>
      <w:r>
        <w:rPr/>
      </w:r>
    </w:p>
    <w:p>
      <w:pPr>
        <w:pStyle w:val="Normal"/>
        <w:ind w:hanging="2160" w:start="2160" w:end="0"/>
        <w:jc w:val="both"/>
        <w:rPr/>
      </w:pPr>
      <w:r>
        <w:rPr/>
      </w:r>
    </w:p>
    <w:p>
      <w:pPr>
        <w:pStyle w:val="Normal"/>
        <w:ind w:hanging="2160" w:start="2160" w:end="0"/>
        <w:jc w:val="both"/>
        <w:rPr>
          <w:b/>
          <w:i/>
          <w:i/>
          <w:u w:val="single"/>
        </w:rPr>
      </w:pPr>
      <w:r>
        <w:rPr>
          <w:b/>
          <w:i/>
          <w:u w:val="single"/>
        </w:rPr>
        <w:t>GOVERNING MASTER AGREEMENT</w:t>
      </w:r>
    </w:p>
    <w:p>
      <w:pPr>
        <w:pStyle w:val="BodyText"/>
        <w:rPr>
          <w:b/>
          <w:i/>
          <w:i/>
          <w:u w:val="single"/>
        </w:rPr>
      </w:pPr>
      <w:r>
        <w:rPr/>
        <w:t>The proposed transaction is contingent upon and will be governed by an Edison Electric Institute Master Purchase and Sale Agreement (EEI) containing with credit and legal terms consistent with those included in the Confirmation for the transaction entered into between EPMI and PPL Montana on September 29, 2000 for a sale by PPL Montana of $42.50/Mwh of Firm Energy at Mid-C for 5-years. In addition, the EEI will include a bilateral set-off clause extending to affiliates and arbitration will be the dispute resolution method.</w:t>
      </w:r>
    </w:p>
    <w:p>
      <w:pPr>
        <w:pStyle w:val="Normal"/>
        <w:ind w:hanging="2160" w:start="2160" w:end="0"/>
        <w:jc w:val="both"/>
        <w:rPr>
          <w:b/>
          <w:i/>
          <w:i/>
          <w:u w:val="single"/>
        </w:rPr>
      </w:pPr>
      <w:r>
        <w:rPr>
          <w:b/>
          <w:i/>
          <w:u w:val="single"/>
        </w:rPr>
      </w:r>
    </w:p>
    <w:p>
      <w:pPr>
        <w:pStyle w:val="Normal"/>
        <w:ind w:hanging="2160" w:start="2160" w:end="0"/>
        <w:jc w:val="both"/>
        <w:rPr>
          <w:b/>
          <w:i/>
          <w:i/>
          <w:u w:val="single"/>
        </w:rPr>
      </w:pPr>
      <w:r>
        <w:rPr>
          <w:b/>
          <w:i/>
          <w:u w:val="single"/>
        </w:rPr>
      </w:r>
    </w:p>
    <w:p>
      <w:pPr>
        <w:pStyle w:val="Normal"/>
        <w:ind w:hanging="2160" w:start="2160" w:end="0"/>
        <w:jc w:val="both"/>
        <w:rPr>
          <w:b/>
          <w:i/>
          <w:i/>
          <w:u w:val="single"/>
        </w:rPr>
      </w:pPr>
      <w:r>
        <w:rPr>
          <w:rFonts w:eastAsia="Arial"/>
          <w:b/>
          <w:i/>
          <w:u w:val="single"/>
        </w:rPr>
        <w:t xml:space="preserve"> </w:t>
      </w:r>
      <w:r>
        <w:rPr>
          <w:b/>
          <w:i/>
          <w:u w:val="single"/>
        </w:rPr>
        <w:t>CONFIDENTIALITY</w:t>
      </w:r>
    </w:p>
    <w:p>
      <w:pPr>
        <w:pStyle w:val="Normal"/>
        <w:jc w:val="both"/>
        <w:rPr>
          <w:b/>
          <w:i/>
          <w:i/>
          <w:u w:val="single"/>
        </w:rPr>
      </w:pPr>
      <w:r>
        <w:rPr>
          <w:b/>
          <w:i/>
          <w:u w:val="single"/>
        </w:rPr>
      </w:r>
    </w:p>
    <w:p>
      <w:pPr>
        <w:pStyle w:val="Normal"/>
        <w:jc w:val="both"/>
        <w:rPr/>
      </w:pPr>
      <w:r>
        <w:rPr/>
        <w:t xml:space="preserve">All terms and conditions of this Term Sheet are confidential between EPMI and PPL Montana and their duly appointed agents and are not to be disclosed to any third party other than affiliates of EPMI and PPL Montana.  </w:t>
      </w:r>
    </w:p>
    <w:p>
      <w:pPr>
        <w:pStyle w:val="Normal"/>
        <w:ind w:hanging="2160" w:start="2160" w:end="0"/>
        <w:jc w:val="both"/>
        <w:rPr/>
      </w:pPr>
      <w:r>
        <w:rPr/>
      </w:r>
    </w:p>
    <w:p>
      <w:pPr>
        <w:pStyle w:val="Normal"/>
        <w:jc w:val="both"/>
        <w:rPr>
          <w:b/>
          <w:i/>
          <w:i/>
        </w:rPr>
      </w:pPr>
      <w:r>
        <w:rPr>
          <w:b/>
          <w:i/>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Enron or PPL Montana LLC or any parent or affiliate of either.  The transaction described above is subject to further review and approval of upper management of Enron and the execution of the definitive agreement containing all appropriate provisions, including, but not limited to, those relating to credit and limitation of damages and remedies and force majeure.</w:t>
      </w:r>
    </w:p>
    <w:p>
      <w:pPr>
        <w:pStyle w:val="Header"/>
        <w:tabs>
          <w:tab w:val="clear" w:pos="4320"/>
          <w:tab w:val="clear" w:pos="8640"/>
        </w:tabs>
        <w:rPr>
          <w:sz w:val="24"/>
        </w:rPr>
      </w:pPr>
      <w:r>
        <w:rPr>
          <w:sz w:val="24"/>
        </w:rPr>
      </w:r>
    </w:p>
    <w:sectPr>
      <w:headerReference w:type="default" r:id="rId4"/>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i/>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i/>
      <w:sz w:val="24"/>
      <w:u w:val="single"/>
    </w:rPr>
  </w:style>
  <w:style w:type="paragraph" w:styleId="Heading9">
    <w:name w:val="heading 9"/>
    <w:basedOn w:val="Normal"/>
    <w:next w:val="Normal"/>
    <w:qFormat/>
    <w:pPr>
      <w:keepNext w:val="true"/>
      <w:numPr>
        <w:ilvl w:val="8"/>
        <w:numId w:val="1"/>
      </w:numPr>
      <w:ind w:hanging="180" w:start="180" w:end="0"/>
      <w:outlineLvl w:val="8"/>
    </w:pPr>
    <w:rPr>
      <w:rFonts w:ascii="Times New Roman" w:hAnsi="Times New Roman" w:cs="Times New Roman"/>
      <w:b/>
      <w:i/>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spacing w:before="0" w:after="120"/>
      <w:ind w:hanging="0" w:start="360" w:end="0"/>
    </w:pPr>
    <w:rPr>
      <w:rFonts w:ascii="Times New Roman" w:hAnsi="Times New Roman" w:cs="Times New Roman"/>
      <w:sz w:val="24"/>
    </w:rPr>
  </w:style>
  <w:style w:type="paragraph" w:styleId="BodyText3">
    <w:name w:val="Body Text 3"/>
    <w:basedOn w:val="BodyText2"/>
    <w:qFormat/>
    <w:pPr/>
    <w:rPr>
      <w:sz w:val="20"/>
    </w:rPr>
  </w:style>
  <w:style w:type="paragraph" w:styleId="NormalIndent">
    <w:name w:val="Normal Indent"/>
    <w:basedOn w:val="Normal"/>
    <w:qFormat/>
    <w:pPr>
      <w:widowControl w:val="false"/>
      <w:ind w:hanging="0" w:start="72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ohn.malowney@enron.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2001-03-01T20:34:00Z</dcterms:created>
  <dc:creator>EW/LN/CB</dc:creator>
  <dc:description/>
  <cp:keywords>Ethan</cp:keywords>
  <dc:language>en-CA</dc:language>
  <cp:lastModifiedBy>jmalown</cp:lastModifiedBy>
  <cp:lastPrinted>2001-03-01T19:03:00Z</cp:lastPrinted>
  <dcterms:modified xsi:type="dcterms:W3CDTF">2001-03-01T22:43:00Z</dcterms:modified>
  <cp:revision>4</cp:revision>
  <dc:subject/>
  <dc:title>Ethan Frome</dc:title>
</cp:coreProperties>
</file>