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jc w:val="start"/>
        <w:rPr>
          <w:b/>
          <w:sz w:val="26"/>
        </w:rPr>
      </w:pPr>
      <w:r>
        <w:rPr>
          <w:b/>
          <w:sz w:val="26"/>
        </w:rPr>
        <w:t>SFAS 133 – Accounting for Derivative Instruments and Hedging Activities</w:t>
      </w:r>
    </w:p>
    <w:p>
      <w:pPr>
        <w:pStyle w:val="BodyText"/>
        <w:spacing w:lineRule="auto" w:line="240"/>
        <w:jc w:val="start"/>
        <w:rPr>
          <w:b/>
          <w:sz w:val="26"/>
        </w:rPr>
      </w:pPr>
      <w:r>
        <w:rPr>
          <w:b/>
          <w:sz w:val="26"/>
        </w:rPr>
      </w:r>
    </w:p>
    <w:p>
      <w:pPr>
        <w:pStyle w:val="BodyText"/>
        <w:spacing w:lineRule="auto" w:line="240"/>
        <w:jc w:val="start"/>
        <w:rPr>
          <w:b/>
          <w:i/>
          <w:i/>
        </w:rPr>
      </w:pPr>
      <w:r>
        <w:rPr>
          <w:i/>
        </w:rPr>
        <w:t>By Datren Williams and Ainsley Gaddis</w:t>
      </w:r>
    </w:p>
    <w:p>
      <w:pPr>
        <w:pStyle w:val="BodyText"/>
        <w:spacing w:lineRule="auto" w:line="240"/>
        <w:ind w:firstLine="720" w:end="0"/>
        <w:jc w:val="start"/>
        <w:rPr>
          <w:b/>
          <w:i/>
          <w:i/>
        </w:rPr>
      </w:pPr>
      <w:r>
        <w:rPr>
          <w:b/>
          <w:i/>
        </w:rPr>
      </w:r>
    </w:p>
    <w:p>
      <w:pPr>
        <w:pStyle w:val="BodyText"/>
        <w:spacing w:lineRule="auto" w:line="240"/>
        <w:ind w:firstLine="720" w:end="0"/>
        <w:jc w:val="start"/>
        <w:rPr/>
      </w:pPr>
      <w:r>
        <w:rPr/>
        <w:t xml:space="preserve">If the new Financial Accounting Standards Board Statement 133 has not yet affected you, it soon will.  SFAS 133 addresses accounting for derivative instruments and hedging activities.  Starting with fiscal years beginning after June 15, 2000, all US companies are required to play by the rules of SFAS 133.  </w:t>
      </w:r>
    </w:p>
    <w:p>
      <w:pPr>
        <w:pStyle w:val="BodyText2"/>
        <w:spacing w:lineRule="auto" w:line="240"/>
        <w:ind w:firstLine="720" w:end="0"/>
        <w:rPr/>
      </w:pPr>
      <w:r>
        <w:rPr/>
        <w:t xml:space="preserve">In the financial world, risk reduction has become synonymous with hedging activities.  So the question arises, how should the income statement reflect the position of such hedges?  According to Statement 133, gains and losses from derivatives that are NOT classified as hedges must be reported through earnings at fair value. Derivatives meeting specific hedge requirements receive special accounting treatment.  This is an attractive method in that it generally allows the effective portion of gains/losses from derivative contracts to be matched with those of the hedged item when they are recognized in earnings.  Without hedge accounting, a mismatch in timing of income recognition occurs, which, in turn, paints a picture of income volatility that poorly reflects the underlying aims of the hedging activity.  </w:t>
      </w:r>
    </w:p>
    <w:p>
      <w:pPr>
        <w:pStyle w:val="BodyText2"/>
        <w:spacing w:lineRule="auto" w:line="240"/>
        <w:ind w:firstLine="720" w:end="0"/>
        <w:rPr/>
      </w:pPr>
      <w:r>
        <w:rPr/>
        <w:t xml:space="preserve">There are three basic types of hedges allowed under Statement 133: cash flow, fair value, and hedges of the net investment in a foreign operation.  Each type of hedge has specific accounting rules relating to it. For instance, a cash flow hedge allows deferral of gains or losses on the fair value of the derivative instrument, limited to the lower of the absolute value of the gain or loss on either the derivative instrument or the hedged item. Any excess value beyond the deferred amount is taken to income.  In contrast, fair value hedge treatment requires that both the hedging instrument and the hedged item be marked to fair value currently through earnings.  </w:t>
      </w:r>
    </w:p>
    <w:p>
      <w:pPr>
        <w:pStyle w:val="BodyText2"/>
        <w:spacing w:lineRule="auto" w:line="240"/>
        <w:ind w:firstLine="720" w:end="0"/>
        <w:rPr/>
      </w:pPr>
      <w:r>
        <w:rPr/>
        <w:t xml:space="preserve">Suppose we intend to hedge a peaker in the ComEd region that uses gas to produce power.   The peaker is, by definition, short gas and long power during the times when it is expected to run.  To eliminate income volatility, risk managers can hedge by taking opposing positions in each market.  For instance, if the peaker receives gas from Tennessee, they might purchase a Henry Hub futures contract.  The generator produces power and would hedge this by taking a short position with a Cinergy forward contract.  Obviously, because these positions are in different locations, the losses and gains will not always perfectly offset one another. </w:t>
      </w:r>
    </w:p>
    <w:p>
      <w:pPr>
        <w:pStyle w:val="BodyText2"/>
        <w:spacing w:lineRule="auto" w:line="240"/>
        <w:ind w:firstLine="720" w:end="0"/>
        <w:rPr/>
      </w:pPr>
      <w:r>
        <w:rPr/>
        <w:t>According to the FASB, a hedge must be highly effective in order to qualify for hedge accounting.  The generally accepted standard for effectiveness is the 80-120 percent offset.  The forecasted changes in value of the hedge would have to correspond to at least 80 percent but not more than 120 percent of the changes in value of the item being hedged. Even if a hedge is “highly effective,” any ineffectiveness may still impact current earnings.  If a hedge fails the 80-120 percent test, hedge accounting is disallowed for the period since the hedge relationship was last tested and all gains or losses on the derivative instrument are taken to earnings in the current period.</w:t>
      </w:r>
    </w:p>
    <w:p>
      <w:pPr>
        <w:pStyle w:val="BodyText2"/>
        <w:spacing w:lineRule="auto" w:line="240"/>
        <w:ind w:firstLine="720" w:end="0"/>
        <w:rPr/>
      </w:pPr>
      <w:r>
        <w:rPr/>
        <w:t xml:space="preserve">Under hedge accounting, income statement recognition of gains and losses on the hedged item are offset by those of the hedging instrument.  As long as the hedge proves to be highly effective, only the difference between changes in the hedged item’s value and changes in the asset’s value are reported to earnings. In the example above, an $80 loss in the hedged item, Tennessee, is offset by a $100 gain in the derivative instrument, a futures contract at Henry Hub. Without hedge accounting, the $80 loss in operating income due to higher gas prices is accrued in the future, as the gas is purchased, but the entire $100 gain in the hedge position would be realized today.  However, under hedge accounting, the hedging instrument maintains partial effectiveness and therefore, only the ineffective portion, the $20 gain, goes into earnings.  </w:t>
      </w:r>
    </w:p>
    <w:p>
      <w:pPr>
        <w:pStyle w:val="BodyText2"/>
        <w:spacing w:lineRule="auto" w:line="240"/>
        <w:ind w:firstLine="720" w:end="0"/>
        <w:rPr/>
      </w:pPr>
      <w:r>
        <w:rPr/>
        <w:t xml:space="preserve">In comparison to non-hedge derivative treatment, hedge accounting is desirable, because only the difference of the hedged item and the hedge position is reported in earnings.  This treatment decreases income volatility and is consistent with the risk reduction goal of the hedging activity. To further illustrate this concept, suppose that in the next quarter, a $50 gain at Tennessee is offset by a $100 loss at Henry Hub.  In accordance to Statement 133, hedge accounting is disallowed and the derivative is marked to fair value through earnings. The $100 loss would be reported to earnings in the current period, and the $50 gain is reported at the delivery date.  This illustrates how hedge accounting reduces mismatches in the timing of income recognition between the hedging instrument and the hedging item.  </w:t>
      </w:r>
    </w:p>
    <w:p>
      <w:pPr>
        <w:pStyle w:val="BodyText2"/>
        <w:spacing w:lineRule="auto" w:line="240"/>
        <w:ind w:firstLine="720" w:end="0"/>
        <w:rPr/>
      </w:pPr>
      <w:r>
        <w:rPr/>
        <w:t xml:space="preserve">FASB mandates formal documentation of evidence as to hedge effectiveness from the inception of the hedge and quarterly testing to verify that the hedge maintains its highly effective status.  Although the earnings calculations of effectiveness are based on actual changes in value (dollar value offset method), statistical methods may be used to prove that a hedge is anticipated to be effective and thus qualify for hedge accounting. </w:t>
      </w:r>
    </w:p>
    <w:p>
      <w:pPr>
        <w:pStyle w:val="BodyText2"/>
        <w:spacing w:lineRule="auto" w:line="240"/>
        <w:ind w:firstLine="720" w:end="0"/>
        <w:rPr/>
      </w:pPr>
      <w:r>
        <w:rPr/>
        <w:t>Though there has been no set standard for testing effectiveness, regression analysis is expected to be the dominant method and is strongly supported by individual members of the Financial Accounting Standards Board’s Derivative Implementation Group (DIG).  However, using a regression test does not come without complications.  For instance, using simple regression does not take into consideration the actual hedge ratios; instead, it applies an optimal ratio.  Using an optimal ratio may give a false indication of the strength of correlation i.e. the best possible R</w:t>
      </w:r>
      <w:r>
        <w:rPr>
          <w:vertAlign w:val="superscript"/>
        </w:rPr>
        <w:t xml:space="preserve">2 </w:t>
      </w:r>
      <w:r>
        <w:rPr/>
        <w:t>.  Running a constrained regression that takes into account the actual hedge ratio used for creating the hedge will give a measure of the R</w:t>
      </w:r>
      <w:r>
        <w:rPr>
          <w:vertAlign w:val="superscript"/>
        </w:rPr>
        <w:t>2</w:t>
      </w:r>
      <w:r>
        <w:rPr/>
        <w:t xml:space="preserve"> reflective of the hedge performance which would be expected given this actual hedge ratio.  </w:t>
      </w:r>
    </w:p>
    <w:p>
      <w:pPr>
        <w:pStyle w:val="BodyText2"/>
        <w:spacing w:lineRule="auto" w:line="240"/>
        <w:ind w:firstLine="720" w:end="0"/>
        <w:rPr/>
      </w:pPr>
      <w:r>
        <w:rPr/>
        <w:t>Another dilemma that testing effectiveness poses is the availability of data.  Depending on the time interval used, a sufficient amount of historical information may not always be available.  If monthly observations are used, there are only twelve data points per year requiring at least two years of historical data to sufficiently smooth out any anomalies of the market and give a statistically significant measure of effectiveness</w:t>
      </w:r>
      <w:r>
        <w:rPr>
          <w:sz w:val="28"/>
        </w:rPr>
        <w:t xml:space="preserve">.  </w:t>
      </w:r>
    </w:p>
    <w:p>
      <w:pPr>
        <w:pStyle w:val="BodyText2"/>
        <w:spacing w:lineRule="auto" w:line="240"/>
        <w:ind w:firstLine="720" w:end="0"/>
        <w:rPr/>
      </w:pPr>
      <w:r>
        <w:rPr/>
        <w:t xml:space="preserve">Various methods to measure effectiveness have been tested.  The ideal method should prove to be robust enough to return accurate results for all types of hedges, yet simple enough to be easily understood by all interested parties. Implementation of these new practices will prove to be a challenge for Enron and will have a tremendous impact on our hedging activities.  </w:t>
      </w:r>
    </w:p>
    <w:p>
      <w:pPr>
        <w:pStyle w:val="BodyText2"/>
        <w:spacing w:lineRule="auto" w:line="240"/>
        <w:ind w:firstLine="720" w:end="0"/>
        <w:rPr>
          <w:sz w:val="28"/>
        </w:rPr>
      </w:pPr>
      <w:r>
        <w:rPr>
          <w:sz w:val="28"/>
        </w:rPr>
      </w:r>
    </w:p>
    <w:p>
      <w:pPr>
        <w:pStyle w:val="BodyText2"/>
        <w:spacing w:lineRule="auto" w:line="240"/>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jc w:val="both"/>
      <w:outlineLvl w:val="0"/>
    </w:pPr>
    <w:rPr>
      <w:b/>
      <w:sz w:val="28"/>
    </w:rPr>
  </w:style>
  <w:style w:type="paragraph" w:styleId="Heading2">
    <w:name w:val="heading 2"/>
    <w:basedOn w:val="Normal"/>
    <w:next w:val="Normal"/>
    <w:qFormat/>
    <w:pPr>
      <w:keepNext w:val="true"/>
      <w:numPr>
        <w:ilvl w:val="1"/>
        <w:numId w:val="1"/>
      </w:numPr>
      <w:outlineLvl w:val="1"/>
    </w:pPr>
    <w:rPr>
      <w:b/>
      <w:color w:val="FF0000"/>
      <w:sz w:val="24"/>
    </w:rPr>
  </w:style>
  <w:style w:type="paragraph" w:styleId="Heading3">
    <w:name w:val="heading 3"/>
    <w:basedOn w:val="Normal"/>
    <w:next w:val="Normal"/>
    <w:qFormat/>
    <w:pPr>
      <w:keepNext w:val="true"/>
      <w:numPr>
        <w:ilvl w:val="2"/>
        <w:numId w:val="1"/>
      </w:numPr>
      <w:outlineLvl w:val="2"/>
    </w:pPr>
    <w:rPr>
      <w:b/>
      <w:color w:val="FF000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pPr>
    <w:rPr>
      <w:sz w:val="24"/>
    </w:rPr>
  </w:style>
  <w:style w:type="paragraph" w:styleId="BodyText3">
    <w:name w:val="Body Text 3"/>
    <w:basedOn w:val="Normal"/>
    <w:qFormat/>
    <w:pPr/>
    <w:rPr>
      <w:b/>
      <w:color w:val="FF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2000-08-04T19:06:00Z</dcterms:created>
  <dc:creator>Datren Williams</dc:creator>
  <dc:description/>
  <dc:language>en-CA</dc:language>
  <cp:lastModifiedBy>vkamins</cp:lastModifiedBy>
  <cp:lastPrinted>2000-08-03T15:17:00Z</cp:lastPrinted>
  <dcterms:modified xsi:type="dcterms:W3CDTF">2000-08-04T19:06:00Z</dcterms:modified>
  <cp:revision>2</cp:revision>
  <dc:subject/>
  <dc:title>If the new Financial Accounting Standards Board Statement 133 has not, yet, affected you, it soon will</dc:title>
</cp:coreProperties>
</file>