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2"/>
        </w:rPr>
      </w:pPr>
      <w:r>
        <w:rPr>
          <w:sz w:val="32"/>
        </w:rPr>
        <w:t>F</w:t>
      </w:r>
      <w:r>
        <w:rPr/>
        <w:t>AROUK</w:t>
      </w:r>
      <w:r>
        <w:rPr>
          <w:sz w:val="32"/>
        </w:rPr>
        <w:t xml:space="preserve"> L</w:t>
      </w:r>
      <w:r>
        <w:rPr/>
        <w:t>ALJI</w:t>
      </w:r>
    </w:p>
    <w:p>
      <w:pPr>
        <w:pStyle w:val="Normal"/>
        <w:jc w:val="center"/>
        <w:rPr/>
      </w:pPr>
      <w:r>
        <w:rPr/>
        <w:t>#10304, 2407 Milam, Houston, TX, 77006, (713)807-1969</w:t>
      </w:r>
    </w:p>
    <w:p>
      <w:pPr>
        <w:pStyle w:val="Heading2"/>
        <w:ind w:hanging="0" w:start="0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-321945</wp:posOffset>
                </wp:positionH>
                <wp:positionV relativeFrom="paragraph">
                  <wp:posOffset>35560</wp:posOffset>
                </wp:positionV>
                <wp:extent cx="7223760" cy="0"/>
                <wp:effectExtent l="0" t="19050" r="0" b="190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5.35pt,2.8pt" to="543.4pt,2.8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ind w:hanging="0" w:start="0"/>
        <w:rPr/>
      </w:pPr>
      <w:r>
        <w:rPr/>
        <w:t>EDUCATION</w:t>
      </w:r>
    </w:p>
    <w:p>
      <w:pPr>
        <w:pStyle w:val="Normal"/>
        <w:rPr/>
      </w:pPr>
      <w:r>
        <w:rPr>
          <w:sz w:val="20"/>
        </w:rPr>
        <w:t>Sept 1994- Dec 1998</w:t>
      </w:r>
      <w:r>
        <w:rPr/>
        <w:tab/>
      </w:r>
      <w:r>
        <w:rPr>
          <w:b/>
          <w:sz w:val="20"/>
        </w:rPr>
        <w:t xml:space="preserve">McGill University, </w:t>
      </w:r>
      <w:r>
        <w:rPr>
          <w:sz w:val="20"/>
        </w:rPr>
        <w:t>Montreal, Canada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Bachelor of Arts</w:t>
      </w:r>
    </w:p>
    <w:p>
      <w:pPr>
        <w:pStyle w:val="Normal"/>
        <w:ind w:start="2160" w:end="0"/>
        <w:rPr/>
      </w:pPr>
      <w:r>
        <w:rPr>
          <w:sz w:val="20"/>
        </w:rPr>
        <w:t xml:space="preserve">Major: </w:t>
      </w:r>
      <w:r>
        <w:rPr>
          <w:b/>
          <w:sz w:val="20"/>
        </w:rPr>
        <w:t xml:space="preserve">Economics  ,  </w:t>
      </w:r>
      <w:r>
        <w:rPr>
          <w:sz w:val="20"/>
        </w:rPr>
        <w:t xml:space="preserve">Minors: </w:t>
      </w:r>
      <w:r>
        <w:rPr>
          <w:b/>
          <w:sz w:val="20"/>
        </w:rPr>
        <w:t>Commerce</w:t>
      </w:r>
      <w:r>
        <w:rPr>
          <w:sz w:val="20"/>
        </w:rPr>
        <w:t xml:space="preserve"> and</w:t>
      </w:r>
      <w:r>
        <w:rPr>
          <w:b/>
          <w:sz w:val="20"/>
        </w:rPr>
        <w:t xml:space="preserve"> International Development Studies</w:t>
      </w:r>
      <w:r>
        <w:rPr>
          <w:sz w:val="20"/>
        </w:rPr>
        <w:t>.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 xml:space="preserve">Coursework includes </w:t>
      </w:r>
      <w:r>
        <w:rPr>
          <w:i/>
          <w:sz w:val="20"/>
        </w:rPr>
        <w:t>Accounting, Finance,</w:t>
      </w:r>
      <w:r>
        <w:rPr>
          <w:i/>
          <w:color w:val="FF0000"/>
          <w:sz w:val="20"/>
        </w:rPr>
        <w:t xml:space="preserve"> </w:t>
      </w:r>
      <w:r>
        <w:rPr>
          <w:i/>
          <w:sz w:val="20"/>
        </w:rPr>
        <w:t>Real Estate Finance, International Business, Microeconomics, Macroeconomics, Economic Development</w:t>
      </w:r>
    </w:p>
    <w:p>
      <w:pPr>
        <w:pStyle w:val="Normal"/>
        <w:rPr/>
      </w:pPr>
      <w:r>
        <w:rPr>
          <w:sz w:val="20"/>
        </w:rPr>
        <w:t>July 1998-Aug 1998</w:t>
        <w:tab/>
      </w:r>
      <w:r>
        <w:rPr>
          <w:b/>
          <w:sz w:val="20"/>
        </w:rPr>
        <w:t xml:space="preserve">Athens Laboratory of Business Administration (ALBA), </w:t>
      </w:r>
      <w:r>
        <w:rPr>
          <w:sz w:val="20"/>
        </w:rPr>
        <w:t>Athens, Greece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Top 10% in academic standings.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 xml:space="preserve">Coursework includes (MBA level): </w:t>
      </w:r>
      <w:r>
        <w:rPr>
          <w:i/>
          <w:sz w:val="20"/>
        </w:rPr>
        <w:t>Business in Society,</w:t>
      </w:r>
      <w:r>
        <w:rPr>
          <w:sz w:val="20"/>
        </w:rPr>
        <w:t xml:space="preserve"> </w:t>
      </w:r>
      <w:r>
        <w:rPr>
          <w:i/>
          <w:sz w:val="20"/>
        </w:rPr>
        <w:t>Strategic Management</w:t>
      </w:r>
    </w:p>
    <w:p>
      <w:pPr>
        <w:pStyle w:val="Heading2"/>
        <w:numPr>
          <w:ilvl w:val="0"/>
          <w:numId w:val="0"/>
        </w:numPr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  <w:t>WORK EXPERIENCE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0"/>
        </w:rPr>
        <w:t>July 2000-Present</w:t>
        <w:tab/>
        <w:tab/>
      </w:r>
      <w:r>
        <w:rPr>
          <w:b/>
          <w:sz w:val="20"/>
        </w:rPr>
        <w:t>Enron North America</w:t>
      </w:r>
      <w:r>
        <w:rPr>
          <w:sz w:val="20"/>
        </w:rPr>
        <w:t>, Houston, Texas.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0"/>
        </w:rPr>
        <w:tab/>
        <w:tab/>
        <w:tab/>
      </w:r>
      <w:r>
        <w:rPr>
          <w:i/>
          <w:sz w:val="20"/>
        </w:rPr>
        <w:t>Analyst-Generation Investments Group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Created complex financial models to value and restructure Qualifying Facilities (QF’s).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Identified restructuring opportunities embedded in QF contractual agreements.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Completed due diligence of various QF projects and identified complex deal structures.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Presented and pitched various structures to counter-parties.</w:t>
      </w:r>
    </w:p>
    <w:p>
      <w:pPr>
        <w:pStyle w:val="Normal"/>
        <w:numPr>
          <w:ilvl w:val="0"/>
          <w:numId w:val="0"/>
        </w:numPr>
        <w:ind w:hanging="0" w:start="0"/>
        <w:rPr>
          <w:b/>
          <w:sz w:val="20"/>
        </w:rPr>
      </w:pPr>
      <w:r>
        <w:rPr>
          <w:sz w:val="20"/>
        </w:rPr>
        <w:t>July 1999-July 2000</w:t>
        <w:tab/>
      </w:r>
      <w:r>
        <w:rPr>
          <w:b/>
          <w:sz w:val="20"/>
        </w:rPr>
        <w:t xml:space="preserve">Enron North America, </w:t>
      </w:r>
      <w:r>
        <w:rPr>
          <w:sz w:val="20"/>
        </w:rPr>
        <w:t>Houston, Texas.</w:t>
      </w:r>
    </w:p>
    <w:p>
      <w:pPr>
        <w:pStyle w:val="Heading5"/>
        <w:rPr/>
      </w:pPr>
      <w:r>
        <w:rPr/>
        <w:t xml:space="preserve">Analyst-Research Group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i/>
          <w:i/>
          <w:sz w:val="20"/>
        </w:rPr>
      </w:pPr>
      <w:r>
        <w:rPr>
          <w:sz w:val="20"/>
        </w:rPr>
        <w:t>Performed Sovereign and Political risk analyses for Enron Corp. and its various subsidiaries.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Worked with Enron’s Chief Economist in evaluating and forecasting currency/inflation for 64 countries.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Prepared and dissected US economic indicators for Enron equity and commodity traders.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Worked with various inflation models to forecast both UK and US inflation curves.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0"/>
        </w:rPr>
        <w:t>Sept 1997- May 1998</w:t>
        <w:tab/>
      </w:r>
      <w:r>
        <w:rPr>
          <w:b/>
          <w:sz w:val="20"/>
        </w:rPr>
        <w:t xml:space="preserve">Colliers International, </w:t>
      </w:r>
      <w:r>
        <w:rPr>
          <w:sz w:val="20"/>
        </w:rPr>
        <w:t>Montreal, Canada.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b/>
        </w:rPr>
        <w:tab/>
        <w:tab/>
        <w:tab/>
      </w:r>
      <w:r>
        <w:rPr>
          <w:i/>
          <w:sz w:val="20"/>
        </w:rPr>
        <w:t xml:space="preserve">Market Analyst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Helped restructure and redevelop the research division of the Colliers, Montreal regional office.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Set up leasing and sales research databases for the Greater Montreal Region.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Analyzed activity in the Montreal Real Estate Market and conducted comparable analyses.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0"/>
        </w:rPr>
        <w:t>May 1997-August 1997</w:t>
        <w:tab/>
      </w:r>
      <w:r>
        <w:rPr>
          <w:b/>
          <w:sz w:val="20"/>
        </w:rPr>
        <w:t xml:space="preserve">Colliers International, </w:t>
      </w:r>
      <w:r>
        <w:rPr>
          <w:sz w:val="20"/>
        </w:rPr>
        <w:t>Vancouver, Canada.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0"/>
        </w:rPr>
        <w:tab/>
        <w:tab/>
        <w:tab/>
      </w:r>
      <w:r>
        <w:rPr>
          <w:i/>
          <w:sz w:val="20"/>
        </w:rPr>
        <w:t>Research Assistant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Researched trends in the Greater Vancouver Real Estate Market.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Formed client presentations for a team of real estate and investment brokers.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Produced data on retail, office, and industrial markets in Vancouver for Colliers’ quarterly reports; performed proforma analysis.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0"/>
        </w:rPr>
        <w:t>May 1996-August 1996</w:t>
        <w:tab/>
      </w:r>
      <w:r>
        <w:rPr>
          <w:b/>
          <w:sz w:val="20"/>
        </w:rPr>
        <w:t>RBC Dominion Securities</w:t>
      </w:r>
      <w:r>
        <w:rPr>
          <w:sz w:val="20"/>
        </w:rPr>
        <w:t xml:space="preserve">   Vancouver, Canada.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>
          <w:sz w:val="20"/>
        </w:rPr>
        <w:tab/>
        <w:tab/>
        <w:tab/>
      </w:r>
      <w:r>
        <w:rPr>
          <w:i/>
          <w:sz w:val="20"/>
        </w:rPr>
        <w:t>Brokers’ Assistant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>Research various stocks traded on the Vancouver Stock Exchange, as well as global mutual fund companies.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Marketed the </w:t>
      </w:r>
      <w:r>
        <w:rPr>
          <w:i/>
          <w:sz w:val="20"/>
        </w:rPr>
        <w:t>GT Global Fund</w:t>
      </w:r>
      <w:r>
        <w:rPr>
          <w:sz w:val="20"/>
        </w:rPr>
        <w:t xml:space="preserve"> package to clients in the Greater Vancouver Region (inclusive of members within the BCMA).</w:t>
      </w:r>
    </w:p>
    <w:p>
      <w:pPr>
        <w:pStyle w:val="Normal"/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Marketed the services of RBC Dominion Securities to help with the growth of various brokers’ business development. </w:t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COMMUNITY SERVICE</w:t>
      </w:r>
    </w:p>
    <w:p>
      <w:pPr>
        <w:pStyle w:val="Heading4"/>
        <w:ind w:hanging="0" w:start="0"/>
        <w:rPr/>
      </w:pPr>
      <w:r>
        <w:rPr/>
        <w:t xml:space="preserve">The Aga Khan Foundation Canada  </w:t>
      </w:r>
      <w:r>
        <w:rPr>
          <w:b w:val="false"/>
        </w:rPr>
        <w:t>(volunteer since 1987)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40" w:leader="none"/>
          <w:tab w:val="left" w:pos="2520" w:leader="none"/>
        </w:tabs>
        <w:ind w:hanging="360" w:start="840" w:end="0"/>
        <w:rPr>
          <w:b/>
          <w:sz w:val="20"/>
        </w:rPr>
      </w:pPr>
      <w:r>
        <w:rPr>
          <w:sz w:val="20"/>
        </w:rPr>
        <w:t xml:space="preserve">Fundraiser for the </w:t>
      </w:r>
      <w:r>
        <w:rPr>
          <w:i/>
          <w:sz w:val="20"/>
        </w:rPr>
        <w:t>Annual Partnership Walk for International Development.</w:t>
      </w:r>
    </w:p>
    <w:p>
      <w:pPr>
        <w:pStyle w:val="Heading4"/>
        <w:ind w:hanging="0" w:start="0"/>
        <w:rPr/>
      </w:pPr>
      <w:r>
        <w:rPr/>
        <w:t>Duke of Edinburgh Awards Scheme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855" w:leader="none"/>
          <w:tab w:val="left" w:pos="2520" w:leader="none"/>
        </w:tabs>
        <w:ind w:hanging="360" w:start="855" w:end="0"/>
        <w:rPr>
          <w:sz w:val="20"/>
        </w:rPr>
      </w:pPr>
      <w:r>
        <w:rPr>
          <w:sz w:val="20"/>
        </w:rPr>
        <w:t>Completion of the Gold, Silver, and Bronze Awards.</w:t>
      </w:r>
    </w:p>
    <w:p>
      <w:pPr>
        <w:pStyle w:val="Heading4"/>
        <w:ind w:hanging="0" w:start="0"/>
        <w:rPr/>
      </w:pPr>
      <w:r>
        <w:rPr/>
        <w:t>Certificate of Excellence and Achievement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15" w:leader="none"/>
          <w:tab w:val="left" w:pos="885" w:leader="none"/>
        </w:tabs>
        <w:ind w:hanging="360" w:start="840" w:end="0"/>
        <w:rPr>
          <w:sz w:val="20"/>
        </w:rPr>
      </w:pPr>
      <w:r>
        <w:rPr>
          <w:sz w:val="20"/>
        </w:rPr>
        <w:t>Awarded by the Vancouver Health Department for outstanding service in the Vancouver community.</w:t>
      </w:r>
    </w:p>
    <w:p>
      <w:pPr>
        <w:pStyle w:val="Heading3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3"/>
        <w:ind w:hanging="0" w:start="0"/>
        <w:rPr>
          <w:b w:val="false"/>
        </w:rPr>
      </w:pPr>
      <w:r>
        <w:rPr>
          <w:b w:val="false"/>
        </w:rPr>
        <w:t>SKILLS</w:t>
      </w:r>
    </w:p>
    <w:p>
      <w:pPr>
        <w:pStyle w:val="Heading4"/>
        <w:tabs>
          <w:tab w:val="clear" w:pos="2520"/>
        </w:tabs>
        <w:ind w:hanging="0" w:start="0"/>
        <w:rPr/>
      </w:pPr>
      <w:r>
        <w:rPr/>
        <w:t>Computer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840" w:leader="none"/>
        </w:tabs>
        <w:ind w:hanging="360" w:start="840" w:end="0"/>
        <w:rPr>
          <w:b/>
          <w:sz w:val="20"/>
        </w:rPr>
      </w:pPr>
      <w:r>
        <w:rPr>
          <w:sz w:val="20"/>
        </w:rPr>
        <w:t>Proficient knowledge of Microsoft Excel, Word, Powerpoint, and Access.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840" w:leader="none"/>
        </w:tabs>
        <w:ind w:hanging="360" w:start="840" w:end="0"/>
        <w:rPr>
          <w:b/>
          <w:sz w:val="20"/>
        </w:rPr>
      </w:pPr>
      <w:r>
        <w:rPr>
          <w:sz w:val="20"/>
        </w:rPr>
        <w:t>Proficient knowledge of Bloomberg and Telerate.</w:t>
      </w:r>
    </w:p>
    <w:sectPr>
      <w:type w:val="nextPage"/>
      <w:pgSz w:w="12240" w:h="15840"/>
      <w:pgMar w:left="810" w:right="810" w:gutter="0" w:header="0" w:top="360" w:footer="0" w:bottom="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DocMax" w:val="no"/>
    <w:docVar w:name="DocType" w:val="Not Presentation"/>
    <w:docVar w:name="European" w:val="no"/>
    <w:docVar w:name="Operator" w:val="no"/>
    <w:docVar w:name="PrintMethod" w:val="MenuFilePrint"/>
    <w:docVar w:name="WasBackground" w:val="yes"/>
    <w:docVar w:name="WasDirty" w:val="yes"/>
    <w:docVar w:name="WasDirty." w:val="yes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520" w:leader="none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2160" w:end="0"/>
      <w:outlineLvl w:val="4"/>
    </w:pPr>
    <w:rPr>
      <w:i/>
      <w:sz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b w:val="false"/>
      <w:i w:val="false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2001-06-15T15:32:00Z</dcterms:created>
  <dc:creator>Karim Nensi</dc:creator>
  <dc:description/>
  <dc:language>en-CA</dc:language>
  <cp:lastModifiedBy>arichard</cp:lastModifiedBy>
  <cp:lastPrinted>2001-06-15T13:01:00Z</cp:lastPrinted>
  <dcterms:modified xsi:type="dcterms:W3CDTF">2001-06-15T15:32:00Z</dcterms:modified>
  <cp:revision>2</cp:revision>
  <dc:subject/>
  <dc:title>Farouk Lalji</dc:title>
</cp:coreProperties>
</file>