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Interoffice Memorandum</w:t>
      </w:r>
    </w:p>
    <w:p>
      <w:pPr>
        <w:pStyle w:val="Normal"/>
        <w:spacing w:lineRule="auto" w:line="360"/>
        <w:rPr>
          <w:sz w:val="22"/>
        </w:rPr>
      </w:pPr>
      <w:r>
        <w:rPr>
          <w:sz w:val="22"/>
        </w:rPr>
      </w:r>
    </w:p>
    <w:p>
      <w:pPr>
        <w:pStyle w:val="Normal"/>
        <w:spacing w:lineRule="auto" w:line="360"/>
        <w:rPr>
          <w:sz w:val="22"/>
        </w:rPr>
      </w:pPr>
      <w:r>
        <w:rPr>
          <w:sz w:val="22"/>
        </w:rPr>
        <w:t>To:</w:t>
        <w:tab/>
        <w:tab/>
        <w:t>Peter del Vechioo</w:t>
      </w:r>
    </w:p>
    <w:p>
      <w:pPr>
        <w:pStyle w:val="Normal"/>
        <w:spacing w:lineRule="auto" w:line="360"/>
        <w:rPr>
          <w:sz w:val="22"/>
        </w:rPr>
      </w:pPr>
      <w:r>
        <w:rPr>
          <w:sz w:val="22"/>
        </w:rPr>
        <w:tab/>
        <w:tab/>
        <w:t>Andy Kelemen</w:t>
      </w:r>
    </w:p>
    <w:p>
      <w:pPr>
        <w:pStyle w:val="Normal"/>
        <w:spacing w:lineRule="auto" w:line="360"/>
        <w:rPr>
          <w:sz w:val="22"/>
        </w:rPr>
      </w:pPr>
      <w:r>
        <w:rPr>
          <w:sz w:val="22"/>
        </w:rPr>
        <w:tab/>
        <w:tab/>
        <w:t>Bret Scholtes</w:t>
      </w:r>
    </w:p>
    <w:p>
      <w:pPr>
        <w:pStyle w:val="Normal"/>
        <w:spacing w:lineRule="auto" w:line="360"/>
        <w:rPr>
          <w:sz w:val="22"/>
        </w:rPr>
      </w:pPr>
      <w:r>
        <w:rPr>
          <w:sz w:val="22"/>
        </w:rPr>
        <w:t>From:</w:t>
        <w:tab/>
        <w:tab/>
        <w:t>Rick Johnson / Office of Labor &amp; Employment Relations</w:t>
      </w:r>
    </w:p>
    <w:p>
      <w:pPr>
        <w:pStyle w:val="Normal"/>
        <w:spacing w:lineRule="auto" w:line="360"/>
        <w:rPr>
          <w:sz w:val="22"/>
        </w:rPr>
      </w:pPr>
      <w:r>
        <w:rPr>
          <w:sz w:val="22"/>
        </w:rPr>
        <w:t>Date:</w:t>
        <w:tab/>
        <w:tab/>
        <w:t>September 19, 2000</w:t>
      </w:r>
    </w:p>
    <w:p>
      <w:pPr>
        <w:pStyle w:val="Normal"/>
        <w:spacing w:lineRule="auto" w:line="360"/>
        <w:rPr/>
      </w:pPr>
      <w:r>
        <w:rPr>
          <w:sz w:val="22"/>
        </w:rPr>
        <w:t>Subject:</w:t>
        <w:tab/>
      </w:r>
      <w:r>
        <w:rPr>
          <w:sz w:val="22"/>
          <w:u w:val="single"/>
        </w:rPr>
        <w:t xml:space="preserve">Falcon – Preliminary Report - HR </w:t>
      </w:r>
    </w:p>
    <w:p>
      <w:pPr>
        <w:pStyle w:val="Normal"/>
        <w:spacing w:lineRule="auto" w:line="360"/>
        <w:rPr>
          <w:b/>
          <w:sz w:val="22"/>
        </w:rPr>
      </w:pPr>
      <w:r>
        <w:rPr>
          <w:b/>
          <w:sz w:val="22"/>
        </w:rPr>
        <w:t>_________________________________________________________________________</w:t>
      </w:r>
    </w:p>
    <w:p>
      <w:pPr>
        <w:pStyle w:val="Normal"/>
        <w:spacing w:lineRule="auto" w:line="360"/>
        <w:rPr>
          <w:b/>
          <w:sz w:val="22"/>
        </w:rPr>
      </w:pPr>
      <w:r>
        <w:rPr>
          <w:b/>
          <w:sz w:val="22"/>
        </w:rPr>
        <w:t xml:space="preserve">Employment / Labor Relations – </w:t>
      </w:r>
    </w:p>
    <w:p>
      <w:pPr>
        <w:pStyle w:val="BodyText"/>
        <w:rPr/>
      </w:pPr>
      <w:r>
        <w:rPr>
          <w:u w:val="single"/>
        </w:rPr>
        <w:t>Summary</w:t>
      </w:r>
      <w:r>
        <w:rPr/>
        <w:t xml:space="preserve"> – Employment at Falcon reflects the volatility and technology grasp the Pulp &amp; Paper Industry has experienced in the last decade.  Acquirer’s future opportunity will be effected by the recent and prolonged strike, Owners’ prior efforts to improve operating margins, and management’s’ previous efforts to influence the organization in the face of competition.   Terms and Conditions in the labor agreements, and employment in context, are indicative of a mature industry and job entitlement cultures.  Flexibility, innovation, and economies, borne from within the culture or intended strategies of management, will be hard fought and elusive gains.  Organized Labor purports a </w:t>
      </w:r>
      <w:r>
        <w:rPr>
          <w:i/>
        </w:rPr>
        <w:t xml:space="preserve">good of the industry </w:t>
      </w:r>
      <w:r>
        <w:rPr/>
        <w:t xml:space="preserve">perspective that is historically evident as resistance and interference with employer initiatives.  In general, this work force has been through many tempering events.  Efforts to foster organizational loyalty and commitment will encounter a seasoned, and potentially cynical, group.   They have seen it and heard it before.  </w:t>
      </w:r>
    </w:p>
    <w:p>
      <w:pPr>
        <w:pStyle w:val="Normal"/>
        <w:spacing w:lineRule="auto" w:line="360"/>
        <w:rPr>
          <w:b/>
          <w:sz w:val="22"/>
        </w:rPr>
      </w:pPr>
      <w:r>
        <w:rPr>
          <w:sz w:val="22"/>
        </w:rPr>
        <w:t xml:space="preserve">Material considerations and issues identified to date are listed below: </w:t>
      </w:r>
    </w:p>
    <w:p>
      <w:pPr>
        <w:pStyle w:val="Normal"/>
        <w:spacing w:lineRule="auto" w:line="360"/>
        <w:rPr/>
      </w:pPr>
      <w:r>
        <w:rPr>
          <w:b/>
          <w:sz w:val="22"/>
        </w:rPr>
        <w:t>Falcon Due Diligence -</w:t>
      </w:r>
      <w:r>
        <w:rPr>
          <w:sz w:val="22"/>
        </w:rPr>
        <w:tab/>
      </w:r>
      <w:r>
        <w:rPr>
          <w:b/>
          <w:sz w:val="22"/>
        </w:rPr>
        <w:t>Employment Matters &amp; Labor Relations</w:t>
      </w:r>
    </w:p>
    <w:p>
      <w:pPr>
        <w:pStyle w:val="Normal"/>
        <w:numPr>
          <w:ilvl w:val="0"/>
          <w:numId w:val="9"/>
        </w:numPr>
        <w:spacing w:lineRule="auto" w:line="360"/>
        <w:rPr>
          <w:b/>
          <w:sz w:val="22"/>
        </w:rPr>
      </w:pPr>
      <w:r>
        <w:rPr>
          <w:b/>
          <w:sz w:val="22"/>
        </w:rPr>
        <w:t xml:space="preserve">Collective Agreements </w:t>
      </w:r>
    </w:p>
    <w:p>
      <w:pPr>
        <w:pStyle w:val="Normal"/>
        <w:numPr>
          <w:ilvl w:val="0"/>
          <w:numId w:val="9"/>
        </w:numPr>
        <w:tabs>
          <w:tab w:val="left" w:pos="720" w:leader="none"/>
        </w:tabs>
        <w:spacing w:lineRule="auto" w:line="360"/>
        <w:ind w:hanging="360" w:start="720" w:end="0"/>
        <w:rPr>
          <w:sz w:val="22"/>
        </w:rPr>
      </w:pPr>
      <w:r>
        <w:rPr>
          <w:sz w:val="22"/>
        </w:rPr>
        <w:t>Job Security – Layoff-bumping and / or transfer between legal entities in the event of a closure. Creates system wide staff changes if any one facility is reduced or closed</w:t>
      </w:r>
    </w:p>
    <w:p>
      <w:pPr>
        <w:pStyle w:val="Normal"/>
        <w:numPr>
          <w:ilvl w:val="0"/>
          <w:numId w:val="9"/>
        </w:numPr>
        <w:tabs>
          <w:tab w:val="left" w:pos="720" w:leader="none"/>
        </w:tabs>
        <w:spacing w:lineRule="auto" w:line="360"/>
        <w:ind w:hanging="360" w:start="720" w:end="0"/>
        <w:rPr>
          <w:sz w:val="22"/>
        </w:rPr>
      </w:pPr>
      <w:r>
        <w:rPr>
          <w:sz w:val="22"/>
        </w:rPr>
        <w:t>Successor obligations in the Agreement(s) and BC Labour Relations Code binds the purchaser to all obligations - to the same extent as though signed by the purchaser.</w:t>
      </w:r>
    </w:p>
    <w:p>
      <w:pPr>
        <w:pStyle w:val="Normal"/>
        <w:numPr>
          <w:ilvl w:val="0"/>
          <w:numId w:val="7"/>
        </w:numPr>
        <w:spacing w:lineRule="auto" w:line="360"/>
        <w:rPr>
          <w:b/>
          <w:sz w:val="22"/>
        </w:rPr>
      </w:pPr>
      <w:r>
        <w:rPr>
          <w:b/>
          <w:sz w:val="22"/>
        </w:rPr>
        <w:t>Addendum to Collective Agreement</w:t>
      </w:r>
    </w:p>
    <w:p>
      <w:pPr>
        <w:pStyle w:val="Normal"/>
        <w:numPr>
          <w:ilvl w:val="0"/>
          <w:numId w:val="7"/>
        </w:numPr>
        <w:tabs>
          <w:tab w:val="left" w:pos="720" w:leader="none"/>
        </w:tabs>
        <w:spacing w:lineRule="auto" w:line="360"/>
        <w:ind w:hanging="360" w:start="720" w:end="0"/>
        <w:rPr>
          <w:sz w:val="22"/>
        </w:rPr>
      </w:pPr>
      <w:r>
        <w:rPr>
          <w:b/>
          <w:sz w:val="22"/>
        </w:rPr>
        <w:t xml:space="preserve">Code of Ethics – </w:t>
      </w:r>
      <w:r>
        <w:rPr>
          <w:sz w:val="22"/>
        </w:rPr>
        <w:t>requires third party contractors performing work for Falcon to pay an hourly rate equivalent to mill journeyman – applies to all employees of the contractor with equivalent positions at the mill.</w:t>
      </w:r>
    </w:p>
    <w:p>
      <w:pPr>
        <w:pStyle w:val="Normal"/>
        <w:numPr>
          <w:ilvl w:val="0"/>
          <w:numId w:val="7"/>
        </w:numPr>
        <w:tabs>
          <w:tab w:val="left" w:pos="720" w:leader="none"/>
        </w:tabs>
        <w:spacing w:lineRule="auto" w:line="360"/>
        <w:ind w:hanging="360" w:start="720" w:end="0"/>
        <w:rPr>
          <w:sz w:val="22"/>
        </w:rPr>
      </w:pPr>
      <w:r>
        <w:rPr>
          <w:sz w:val="22"/>
        </w:rPr>
        <w:t>Falcon is obligated to make contributions to the Pulp &amp; Paper Industry Pension Plan in respect to all hours worked by a third party contractor’s employees even though they are not participants in the Plan.</w:t>
      </w:r>
    </w:p>
    <w:p>
      <w:pPr>
        <w:pStyle w:val="Normal"/>
        <w:numPr>
          <w:ilvl w:val="0"/>
          <w:numId w:val="7"/>
        </w:numPr>
        <w:tabs>
          <w:tab w:val="left" w:pos="720" w:leader="none"/>
        </w:tabs>
        <w:spacing w:lineRule="auto" w:line="360"/>
        <w:ind w:hanging="360" w:start="720" w:end="0"/>
        <w:rPr>
          <w:sz w:val="22"/>
        </w:rPr>
      </w:pPr>
      <w:r>
        <w:rPr>
          <w:sz w:val="22"/>
        </w:rPr>
        <w:t>Local rules provide that Falcon pay 100% of the Medical Service Plan remittances required for all retired associates of the mill.</w:t>
      </w:r>
    </w:p>
    <w:p>
      <w:pPr>
        <w:pStyle w:val="Normal"/>
        <w:numPr>
          <w:ilvl w:val="0"/>
          <w:numId w:val="7"/>
        </w:numPr>
        <w:tabs>
          <w:tab w:val="left" w:pos="720" w:leader="none"/>
        </w:tabs>
        <w:spacing w:lineRule="auto" w:line="360"/>
        <w:ind w:hanging="360" w:start="720" w:end="0"/>
        <w:rPr>
          <w:sz w:val="22"/>
        </w:rPr>
      </w:pPr>
      <w:r>
        <w:rPr>
          <w:sz w:val="22"/>
        </w:rPr>
        <w:t>Supplementary vacation balances – A carry over feature with the potential for a significant accrued liability.</w:t>
      </w:r>
    </w:p>
    <w:p>
      <w:pPr>
        <w:pStyle w:val="Normal"/>
        <w:numPr>
          <w:ilvl w:val="0"/>
          <w:numId w:val="7"/>
        </w:numPr>
        <w:tabs>
          <w:tab w:val="left" w:pos="720" w:leader="none"/>
        </w:tabs>
        <w:spacing w:lineRule="auto" w:line="360"/>
        <w:ind w:hanging="360" w:start="720" w:end="0"/>
        <w:rPr>
          <w:sz w:val="22"/>
        </w:rPr>
      </w:pPr>
      <w:r>
        <w:rPr>
          <w:sz w:val="22"/>
        </w:rPr>
        <w:t>Grievance / arbitration – Significant number (149) of grievances in process:</w:t>
      </w:r>
    </w:p>
    <w:p>
      <w:pPr>
        <w:pStyle w:val="Normal"/>
        <w:numPr>
          <w:ilvl w:val="0"/>
          <w:numId w:val="7"/>
        </w:numPr>
        <w:tabs>
          <w:tab w:val="clear" w:pos="720"/>
          <w:tab w:val="left" w:pos="1080" w:leader="none"/>
        </w:tabs>
        <w:spacing w:lineRule="auto" w:line="360"/>
        <w:ind w:hanging="360" w:start="1080" w:end="0"/>
        <w:rPr>
          <w:sz w:val="22"/>
        </w:rPr>
      </w:pPr>
      <w:r>
        <w:rPr>
          <w:sz w:val="22"/>
        </w:rPr>
        <w:t xml:space="preserve"> </w:t>
      </w:r>
      <w:r>
        <w:rPr>
          <w:sz w:val="22"/>
        </w:rPr>
        <w:t xml:space="preserve">Material issue involves the accrual of vacation and personal leave.  Time accruals, forfeited during the nine-month strike, are being claimed.  This is a “class wide” claim for the value of the time loss.  </w:t>
      </w:r>
    </w:p>
    <w:p>
      <w:pPr>
        <w:pStyle w:val="Normal"/>
        <w:numPr>
          <w:ilvl w:val="0"/>
          <w:numId w:val="7"/>
        </w:numPr>
        <w:tabs>
          <w:tab w:val="clear" w:pos="720"/>
          <w:tab w:val="left" w:pos="1080" w:leader="none"/>
        </w:tabs>
        <w:spacing w:lineRule="auto" w:line="360"/>
        <w:ind w:hanging="360" w:start="1080" w:end="0"/>
        <w:rPr>
          <w:sz w:val="22"/>
        </w:rPr>
      </w:pPr>
      <w:r>
        <w:rPr>
          <w:sz w:val="22"/>
        </w:rPr>
        <w:t>Contracting out – great many grievances are challenging the sub-contracting of work and the implementation of flex work rules.  – It should be noted that if the Union is successful in challenges to sub-contracting – remedies may include make whole provision for all lost wages, dues, and other contributions, that would have been earned or received by the union and members during the period of improper sub-contracting.  The risk includes a serious restriction on the ability to utilize third party service.</w:t>
      </w:r>
    </w:p>
    <w:p>
      <w:pPr>
        <w:pStyle w:val="Normal"/>
        <w:numPr>
          <w:ilvl w:val="0"/>
          <w:numId w:val="6"/>
        </w:numPr>
        <w:spacing w:lineRule="auto" w:line="360"/>
        <w:rPr>
          <w:sz w:val="22"/>
        </w:rPr>
      </w:pPr>
      <w:r>
        <w:rPr>
          <w:b/>
          <w:sz w:val="22"/>
        </w:rPr>
        <w:t>US Employees</w:t>
      </w:r>
      <w:r>
        <w:rPr>
          <w:sz w:val="22"/>
        </w:rPr>
        <w:t xml:space="preserve"> </w:t>
      </w:r>
    </w:p>
    <w:p>
      <w:pPr>
        <w:pStyle w:val="Normal"/>
        <w:numPr>
          <w:ilvl w:val="0"/>
          <w:numId w:val="6"/>
        </w:numPr>
        <w:tabs>
          <w:tab w:val="left" w:pos="720" w:leader="none"/>
        </w:tabs>
        <w:spacing w:lineRule="auto" w:line="360"/>
        <w:ind w:hanging="360" w:start="720" w:end="0"/>
        <w:rPr>
          <w:sz w:val="22"/>
        </w:rPr>
      </w:pPr>
      <w:r>
        <w:rPr>
          <w:sz w:val="22"/>
        </w:rPr>
        <w:t xml:space="preserve">Fifteen employees are working in the US. (sufficient number to trigger certain US compliance requirements) No material knowledge, exhibit, or discussions addressed the employment relationship, employer obligations, or liabilities being assumed with these employees. </w:t>
      </w:r>
    </w:p>
    <w:p>
      <w:pPr>
        <w:pStyle w:val="Normal"/>
        <w:numPr>
          <w:ilvl w:val="0"/>
          <w:numId w:val="8"/>
        </w:numPr>
        <w:spacing w:lineRule="auto" w:line="360"/>
        <w:rPr>
          <w:sz w:val="22"/>
        </w:rPr>
      </w:pPr>
      <w:r>
        <w:rPr>
          <w:b/>
          <w:sz w:val="22"/>
        </w:rPr>
        <w:t>Executive Severance Agreements</w:t>
      </w:r>
    </w:p>
    <w:p>
      <w:pPr>
        <w:pStyle w:val="Normal"/>
        <w:numPr>
          <w:ilvl w:val="0"/>
          <w:numId w:val="8"/>
        </w:numPr>
        <w:tabs>
          <w:tab w:val="left" w:pos="720" w:leader="none"/>
        </w:tabs>
        <w:spacing w:lineRule="auto" w:line="360"/>
        <w:ind w:hanging="360" w:start="720" w:end="0"/>
        <w:rPr>
          <w:sz w:val="22"/>
        </w:rPr>
      </w:pPr>
      <w:r>
        <w:rPr>
          <w:sz w:val="22"/>
        </w:rPr>
        <w:t>Thirteen executive severance agreements are identified – The proposed transaction has the potential to re-trigger four previously initiated agreements</w:t>
      </w:r>
    </w:p>
    <w:p>
      <w:pPr>
        <w:pStyle w:val="Normal"/>
        <w:numPr>
          <w:ilvl w:val="0"/>
          <w:numId w:val="8"/>
        </w:numPr>
        <w:tabs>
          <w:tab w:val="left" w:pos="720" w:leader="none"/>
        </w:tabs>
        <w:spacing w:lineRule="auto" w:line="360"/>
        <w:ind w:hanging="360" w:start="720" w:end="0"/>
        <w:rPr>
          <w:sz w:val="22"/>
        </w:rPr>
      </w:pPr>
      <w:r>
        <w:rPr>
          <w:sz w:val="22"/>
        </w:rPr>
        <w:t xml:space="preserve">Significant perquisites attend these agreements.  </w:t>
      </w:r>
    </w:p>
    <w:p>
      <w:pPr>
        <w:pStyle w:val="Normal"/>
        <w:numPr>
          <w:ilvl w:val="0"/>
          <w:numId w:val="8"/>
        </w:numPr>
        <w:tabs>
          <w:tab w:val="left" w:pos="720" w:leader="none"/>
        </w:tabs>
        <w:spacing w:lineRule="auto" w:line="360"/>
        <w:ind w:hanging="360" w:start="720" w:end="0"/>
        <w:rPr>
          <w:sz w:val="22"/>
        </w:rPr>
      </w:pPr>
      <w:r>
        <w:rPr>
          <w:sz w:val="22"/>
        </w:rPr>
        <w:t>Invocation of agreement increases Supplemental Executive Retirement Plan liability, as well as triggers SAR [phantom stock] and Option exercise requirements</w:t>
      </w:r>
    </w:p>
    <w:p>
      <w:pPr>
        <w:pStyle w:val="Normal"/>
        <w:numPr>
          <w:ilvl w:val="0"/>
          <w:numId w:val="10"/>
        </w:numPr>
        <w:tabs>
          <w:tab w:val="clear" w:pos="720"/>
          <w:tab w:val="left" w:pos="90" w:leader="none"/>
        </w:tabs>
        <w:spacing w:lineRule="auto" w:line="360"/>
        <w:ind w:hanging="360" w:start="480" w:end="0"/>
        <w:rPr>
          <w:b/>
          <w:sz w:val="22"/>
        </w:rPr>
      </w:pPr>
      <w:r>
        <w:rPr>
          <w:b/>
          <w:sz w:val="22"/>
        </w:rPr>
        <w:t xml:space="preserve">Pensions </w:t>
      </w:r>
    </w:p>
    <w:p>
      <w:pPr>
        <w:pStyle w:val="Normal"/>
        <w:numPr>
          <w:ilvl w:val="0"/>
          <w:numId w:val="5"/>
        </w:numPr>
        <w:tabs>
          <w:tab w:val="left" w:pos="720" w:leader="none"/>
        </w:tabs>
        <w:spacing w:lineRule="auto" w:line="360"/>
        <w:ind w:hanging="360" w:start="840" w:end="0"/>
        <w:rPr>
          <w:sz w:val="22"/>
        </w:rPr>
      </w:pPr>
      <w:r>
        <w:rPr>
          <w:sz w:val="22"/>
        </w:rPr>
        <w:t>Union employees part of the Pulp &amp; Paper Industry Plan.  The withdrawal liability of this multi employer defined benefit plan is not known at this time.  Plan is known to be in a funding deficit.</w:t>
      </w:r>
    </w:p>
    <w:p>
      <w:pPr>
        <w:pStyle w:val="Normal"/>
        <w:numPr>
          <w:ilvl w:val="0"/>
          <w:numId w:val="5"/>
        </w:numPr>
        <w:tabs>
          <w:tab w:val="left" w:pos="720" w:leader="none"/>
        </w:tabs>
        <w:spacing w:lineRule="auto" w:line="360"/>
        <w:ind w:hanging="360" w:start="840" w:end="0"/>
        <w:rPr>
          <w:sz w:val="22"/>
        </w:rPr>
      </w:pPr>
      <w:r>
        <w:rPr>
          <w:sz w:val="22"/>
        </w:rPr>
        <w:t>Salaried – non-union plan(s) – awaiting report from Blake, Cassels, - (Bill MacLagan) Expected by end of business 9/19/2000.</w:t>
      </w:r>
    </w:p>
    <w:p>
      <w:pPr>
        <w:pStyle w:val="Normal"/>
        <w:numPr>
          <w:ilvl w:val="0"/>
          <w:numId w:val="4"/>
        </w:numPr>
        <w:tabs>
          <w:tab w:val="clear" w:pos="720"/>
          <w:tab w:val="left" w:pos="0" w:leader="none"/>
        </w:tabs>
        <w:spacing w:lineRule="auto" w:line="360"/>
        <w:rPr>
          <w:sz w:val="22"/>
        </w:rPr>
      </w:pPr>
      <w:r>
        <w:rPr>
          <w:b/>
          <w:sz w:val="22"/>
        </w:rPr>
        <w:t>Interest free loans to employees</w:t>
      </w:r>
    </w:p>
    <w:p>
      <w:pPr>
        <w:pStyle w:val="Normal"/>
        <w:numPr>
          <w:ilvl w:val="0"/>
          <w:numId w:val="4"/>
        </w:numPr>
        <w:spacing w:lineRule="auto" w:line="360"/>
        <w:ind w:hanging="360" w:start="720" w:end="0"/>
        <w:rPr>
          <w:sz w:val="22"/>
        </w:rPr>
      </w:pPr>
      <w:r>
        <w:rPr>
          <w:sz w:val="22"/>
        </w:rPr>
        <w:t>&gt; $ 2 million in interest free loans to employees are on record as of  June 2000</w:t>
      </w:r>
    </w:p>
    <w:p>
      <w:pPr>
        <w:pStyle w:val="Normal"/>
        <w:numPr>
          <w:ilvl w:val="0"/>
          <w:numId w:val="2"/>
        </w:numPr>
        <w:spacing w:lineRule="auto" w:line="360"/>
        <w:rPr>
          <w:b/>
          <w:sz w:val="22"/>
        </w:rPr>
      </w:pPr>
      <w:r>
        <w:rPr>
          <w:b/>
          <w:sz w:val="22"/>
        </w:rPr>
        <w:t xml:space="preserve">Stock Option Plan(s) </w:t>
      </w:r>
    </w:p>
    <w:p>
      <w:pPr>
        <w:pStyle w:val="Normal"/>
        <w:numPr>
          <w:ilvl w:val="0"/>
          <w:numId w:val="11"/>
        </w:numPr>
        <w:tabs>
          <w:tab w:val="left" w:pos="720" w:leader="none"/>
        </w:tabs>
        <w:spacing w:lineRule="auto" w:line="360"/>
        <w:ind w:hanging="360" w:start="720" w:end="0"/>
        <w:rPr>
          <w:sz w:val="22"/>
        </w:rPr>
      </w:pPr>
      <w:r>
        <w:rPr>
          <w:sz w:val="22"/>
        </w:rPr>
        <w:t>Twelve Execs hold approximately 450,000 stock options – Long Term Incentive Plan, 7/31/2000</w:t>
      </w:r>
    </w:p>
    <w:p>
      <w:pPr>
        <w:pStyle w:val="Normal"/>
        <w:numPr>
          <w:ilvl w:val="0"/>
          <w:numId w:val="1"/>
        </w:numPr>
        <w:tabs>
          <w:tab w:val="left" w:pos="240" w:leader="none"/>
          <w:tab w:val="left" w:pos="720" w:leader="none"/>
        </w:tabs>
        <w:spacing w:lineRule="auto" w:line="360"/>
        <w:ind w:hanging="360" w:start="720" w:end="0"/>
        <w:rPr>
          <w:sz w:val="22"/>
        </w:rPr>
      </w:pPr>
      <w:r>
        <w:rPr>
          <w:sz w:val="22"/>
        </w:rPr>
        <w:t>457,000 options granted – ( 8/4/95-8/4/1999) FCCL Stock Option Plan</w:t>
      </w:r>
    </w:p>
    <w:p>
      <w:pPr>
        <w:pStyle w:val="Normal"/>
        <w:numPr>
          <w:ilvl w:val="0"/>
          <w:numId w:val="1"/>
        </w:numPr>
        <w:tabs>
          <w:tab w:val="left" w:pos="240" w:leader="none"/>
          <w:tab w:val="left" w:pos="720" w:leader="none"/>
        </w:tabs>
        <w:spacing w:lineRule="auto" w:line="360"/>
        <w:ind w:hanging="360" w:start="720" w:end="0"/>
        <w:rPr>
          <w:sz w:val="22"/>
        </w:rPr>
      </w:pPr>
      <w:r>
        <w:rPr>
          <w:sz w:val="22"/>
        </w:rPr>
        <w:t>Two forms of Phantom Stock Incentives exist – approximately 350,000 shares allocated</w:t>
      </w:r>
    </w:p>
    <w:p>
      <w:pPr>
        <w:pStyle w:val="Normal"/>
        <w:numPr>
          <w:ilvl w:val="0"/>
          <w:numId w:val="3"/>
        </w:numPr>
        <w:tabs>
          <w:tab w:val="left" w:pos="420" w:leader="none"/>
          <w:tab w:val="left" w:pos="720" w:leader="none"/>
        </w:tabs>
        <w:spacing w:lineRule="auto" w:line="360"/>
        <w:ind w:hanging="360" w:start="420" w:end="0"/>
        <w:rPr>
          <w:sz w:val="22"/>
        </w:rPr>
      </w:pPr>
      <w:r>
        <w:rPr>
          <w:b/>
          <w:sz w:val="22"/>
        </w:rPr>
        <w:t>Severance / Reduction in Force</w:t>
      </w:r>
    </w:p>
    <w:p>
      <w:pPr>
        <w:pStyle w:val="Normal"/>
        <w:numPr>
          <w:ilvl w:val="0"/>
          <w:numId w:val="3"/>
        </w:numPr>
        <w:tabs>
          <w:tab w:val="left" w:pos="720" w:leader="none"/>
          <w:tab w:val="left" w:pos="780" w:leader="none"/>
        </w:tabs>
        <w:spacing w:lineRule="auto" w:line="360"/>
        <w:ind w:hanging="360" w:start="780" w:end="0"/>
        <w:rPr>
          <w:sz w:val="22"/>
        </w:rPr>
      </w:pPr>
      <w:r>
        <w:rPr>
          <w:sz w:val="22"/>
        </w:rPr>
        <w:t>A “voluntary” severance and early retirement program was implemented in 1999.  A total of 344 positions were eliminated over a period of approximately 18 months.  292 of the positions were from ongoing operations, reflecting a labor cost savings of $ 23.4 million annually</w:t>
      </w:r>
    </w:p>
    <w:p>
      <w:pPr>
        <w:pStyle w:val="Normal"/>
        <w:numPr>
          <w:ilvl w:val="0"/>
          <w:numId w:val="3"/>
        </w:numPr>
        <w:tabs>
          <w:tab w:val="left" w:pos="720" w:leader="none"/>
          <w:tab w:val="left" w:pos="780" w:leader="none"/>
        </w:tabs>
        <w:spacing w:lineRule="auto" w:line="360"/>
        <w:ind w:hanging="360" w:start="780" w:end="0"/>
        <w:rPr>
          <w:sz w:val="22"/>
        </w:rPr>
      </w:pPr>
      <w:r>
        <w:rPr>
          <w:sz w:val="22"/>
        </w:rPr>
        <w:t>Cost of the RIF / Severance program ($36 million) was set aside in 1999.  Reflects an estimated per-capita, $ 104K / full time equivalent.</w:t>
      </w:r>
    </w:p>
    <w:p>
      <w:pPr>
        <w:pStyle w:val="Normal"/>
        <w:numPr>
          <w:ilvl w:val="0"/>
          <w:numId w:val="3"/>
        </w:numPr>
        <w:tabs>
          <w:tab w:val="left" w:pos="720" w:leader="none"/>
          <w:tab w:val="left" w:pos="780" w:leader="none"/>
        </w:tabs>
        <w:spacing w:lineRule="auto" w:line="360"/>
        <w:ind w:hanging="360" w:start="780" w:end="0"/>
        <w:rPr>
          <w:sz w:val="22"/>
        </w:rPr>
      </w:pPr>
      <w:r>
        <w:rPr>
          <w:sz w:val="22"/>
        </w:rPr>
        <w:t xml:space="preserve">A staff reduction program was implemented in 1997.  A total of 257 positions were eliminated  reflecting a labor cost savings of $ 19 million annually  </w:t>
      </w:r>
    </w:p>
    <w:p>
      <w:pPr>
        <w:pStyle w:val="Normal"/>
        <w:numPr>
          <w:ilvl w:val="0"/>
          <w:numId w:val="3"/>
        </w:numPr>
        <w:tabs>
          <w:tab w:val="left" w:pos="720" w:leader="none"/>
          <w:tab w:val="left" w:pos="780" w:leader="none"/>
        </w:tabs>
        <w:spacing w:lineRule="auto" w:line="360"/>
        <w:ind w:hanging="360" w:start="780" w:end="0"/>
        <w:rPr>
          <w:sz w:val="22"/>
        </w:rPr>
      </w:pPr>
      <w:r>
        <w:rPr>
          <w:sz w:val="22"/>
        </w:rPr>
        <w:t xml:space="preserve">Currently, the Collective Agreements and Employee Severance policies reflect higher than industry expectations and costs.   Retiree benefits were a significant feature of the 98/99 early retirement inducement.  Coverage and administration costs will increase.  Severance notice and remuneration exceeds requirements in the Provincial Labour Code. </w:t>
      </w:r>
    </w:p>
    <w:p>
      <w:pPr>
        <w:pStyle w:val="Normal"/>
        <w:numPr>
          <w:ilvl w:val="0"/>
          <w:numId w:val="3"/>
        </w:numPr>
        <w:tabs>
          <w:tab w:val="left" w:pos="720" w:leader="none"/>
          <w:tab w:val="left" w:pos="780" w:leader="none"/>
        </w:tabs>
        <w:spacing w:lineRule="auto" w:line="360"/>
        <w:ind w:hanging="360" w:start="780" w:end="0"/>
        <w:rPr>
          <w:sz w:val="22"/>
        </w:rPr>
      </w:pPr>
      <w:r>
        <w:rPr>
          <w:sz w:val="22"/>
        </w:rPr>
        <w:t xml:space="preserve"> </w:t>
      </w:r>
      <w:r>
        <w:rPr>
          <w:sz w:val="22"/>
        </w:rPr>
        <w:t>Union &amp; Non-union-salaried pension plans reflect the increased benefit load as a result of early retirement inducements.  Future funding obligations reflect the impacts.</w:t>
      </w:r>
    </w:p>
    <w:p>
      <w:pPr>
        <w:pStyle w:val="Normal"/>
        <w:tabs>
          <w:tab w:val="left" w:pos="720" w:leader="none"/>
        </w:tabs>
        <w:spacing w:lineRule="auto" w:line="360"/>
        <w:rPr>
          <w:sz w:val="22"/>
        </w:rPr>
      </w:pPr>
      <w:r>
        <w:rPr>
          <w:sz w:val="22"/>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lineRule="auto" w:line="360"/>
      <w:jc w:val="center"/>
    </w:pPr>
    <w:rPr>
      <w:b/>
      <w:sz w:val="22"/>
    </w:rPr>
  </w:style>
  <w:style w:type="paragraph" w:styleId="BodyText">
    <w:name w:val="Body Text"/>
    <w:basedOn w:val="Normal"/>
    <w:pPr>
      <w:spacing w:lineRule="auto" w:line="36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2000-09-19T10:13:00Z</dcterms:created>
  <dc:creator>rjohnso</dc:creator>
  <dc:description/>
  <dc:language>en-CA</dc:language>
  <cp:lastModifiedBy>rjohnso</cp:lastModifiedBy>
  <cp:lastPrinted>2000-09-19T11:30:00Z</cp:lastPrinted>
  <dcterms:modified xsi:type="dcterms:W3CDTF">2000-09-19T15:03:00Z</dcterms:modified>
  <cp:revision>6</cp:revision>
  <dc:subject/>
  <dc:title>Falcon Due Diligence -</dc:title>
</cp:coreProperties>
</file>