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SPECIMEN TERM SHEET</w:t>
      </w:r>
    </w:p>
    <w:p>
      <w:pPr>
        <w:pStyle w:val="Heading"/>
        <w:rPr/>
      </w:pPr>
      <w:r>
        <w:rPr/>
      </w:r>
    </w:p>
    <w:p>
      <w:pPr>
        <w:pStyle w:val="Heading"/>
        <w:rPr/>
      </w:pPr>
      <w:r>
        <w:rPr/>
        <w:t>U.S. REFERENCE ENTITY FAILURE TO PAY SWAP</w:t>
      </w:r>
    </w:p>
    <w:p>
      <w:pPr>
        <w:pStyle w:val="Normal"/>
        <w:rPr>
          <w:sz w:val="24"/>
        </w:rPr>
      </w:pPr>
      <w:r>
        <w:rPr>
          <w:sz w:val="24"/>
        </w:rPr>
      </w:r>
    </w:p>
    <w:tbl>
      <w:tblPr>
        <w:tblW w:w="9781" w:type="dxa"/>
        <w:jc w:val="start"/>
        <w:tblInd w:w="108" w:type="dxa"/>
        <w:tblLayout w:type="fixed"/>
        <w:tblCellMar>
          <w:top w:w="0" w:type="dxa"/>
          <w:start w:w="108" w:type="dxa"/>
          <w:bottom w:w="0" w:type="dxa"/>
          <w:end w:w="108" w:type="dxa"/>
        </w:tblCellMar>
      </w:tblPr>
      <w:tblGrid>
        <w:gridCol w:w="3402"/>
        <w:gridCol w:w="6379"/>
      </w:tblGrid>
      <w:tr>
        <w:trPr>
          <w:trHeight w:val="279" w:hRule="atLeast"/>
        </w:trPr>
        <w:tc>
          <w:tcPr>
            <w:tcW w:w="3402" w:type="dxa"/>
            <w:tcBorders/>
          </w:tcPr>
          <w:p>
            <w:pPr>
              <w:pStyle w:val="Heading2"/>
              <w:spacing w:before="20" w:after="60"/>
              <w:ind w:hanging="0" w:start="0"/>
              <w:rPr>
                <w:color w:val="000000"/>
              </w:rPr>
            </w:pPr>
            <w:r>
              <w:rPr>
                <w:color w:val="000000"/>
              </w:rPr>
              <w:t>1. General Commercial Terms</w:t>
            </w:r>
          </w:p>
        </w:tc>
        <w:tc>
          <w:tcPr>
            <w:tcW w:w="6379" w:type="dxa"/>
            <w:tcBorders/>
          </w:tcPr>
          <w:p>
            <w:pPr>
              <w:pStyle w:val="Normal"/>
              <w:tabs>
                <w:tab w:val="clear" w:pos="720"/>
                <w:tab w:val="left" w:pos="1734" w:leader="none"/>
              </w:tabs>
              <w:snapToGrid w:val="false"/>
              <w:spacing w:before="20" w:after="60"/>
              <w:rPr>
                <w:b/>
                <w:color w:val="000000"/>
                <w:sz w:val="24"/>
                <w:u w:val="single"/>
              </w:rPr>
            </w:pPr>
            <w:r>
              <w:rPr>
                <w:b/>
                <w:color w:val="000000"/>
                <w:sz w:val="24"/>
                <w:u w:val="single"/>
              </w:rPr>
            </w:r>
          </w:p>
        </w:tc>
      </w:tr>
      <w:tr>
        <w:trPr/>
        <w:tc>
          <w:tcPr>
            <w:tcW w:w="3402" w:type="dxa"/>
            <w:tcBorders/>
          </w:tcPr>
          <w:p>
            <w:pPr>
              <w:pStyle w:val="Normal"/>
              <w:snapToGrid w:val="false"/>
              <w:spacing w:before="20" w:after="60"/>
              <w:rPr>
                <w:b/>
                <w:color w:val="000000"/>
                <w:sz w:val="24"/>
                <w:u w:val="single"/>
              </w:rPr>
            </w:pPr>
            <w:r>
              <w:rPr>
                <w:b/>
                <w:color w:val="000000"/>
                <w:sz w:val="24"/>
                <w:u w:val="single"/>
              </w:rPr>
            </w:r>
          </w:p>
        </w:tc>
        <w:tc>
          <w:tcPr>
            <w:tcW w:w="6379" w:type="dxa"/>
            <w:tcBorders/>
          </w:tcPr>
          <w:p>
            <w:pPr>
              <w:pStyle w:val="Normal"/>
              <w:tabs>
                <w:tab w:val="clear" w:pos="720"/>
                <w:tab w:val="left" w:pos="1734" w:leader="none"/>
              </w:tabs>
              <w:snapToGrid w:val="false"/>
              <w:spacing w:before="20" w:after="60"/>
              <w:rPr>
                <w:color w:val="000000"/>
                <w:sz w:val="24"/>
              </w:rPr>
            </w:pPr>
            <w:r>
              <w:rPr>
                <w:color w:val="000000"/>
                <w:sz w:val="24"/>
              </w:rPr>
            </w:r>
          </w:p>
        </w:tc>
      </w:tr>
      <w:tr>
        <w:trPr/>
        <w:tc>
          <w:tcPr>
            <w:tcW w:w="3402" w:type="dxa"/>
            <w:tcBorders/>
          </w:tcPr>
          <w:p>
            <w:pPr>
              <w:pStyle w:val="Normal"/>
              <w:spacing w:before="20" w:after="60"/>
              <w:rPr>
                <w:color w:val="000000"/>
                <w:sz w:val="24"/>
              </w:rPr>
            </w:pPr>
            <w:r>
              <w:rPr>
                <w:color w:val="000000"/>
                <w:sz w:val="24"/>
              </w:rPr>
              <w:t>Seller:</w:t>
            </w:r>
          </w:p>
        </w:tc>
        <w:tc>
          <w:tcPr>
            <w:tcW w:w="6379" w:type="dxa"/>
            <w:tcBorders/>
          </w:tcPr>
          <w:p>
            <w:pPr>
              <w:pStyle w:val="Normal"/>
              <w:tabs>
                <w:tab w:val="clear" w:pos="720"/>
                <w:tab w:val="left" w:pos="1734" w:leader="none"/>
              </w:tabs>
              <w:spacing w:before="20" w:after="60"/>
              <w:rPr/>
            </w:pPr>
            <w:r>
              <w:rPr>
                <w:color w:val="000000"/>
                <w:sz w:val="24"/>
              </w:rPr>
              <w:t xml:space="preserve">[ </w:t>
            </w:r>
            <w:r>
              <w:rPr>
                <w:color w:val="0000FF"/>
                <w:sz w:val="24"/>
              </w:rPr>
              <w:t>Enron North America</w:t>
            </w:r>
            <w:r>
              <w:rPr>
                <w:color w:val="000000"/>
                <w:sz w:val="24"/>
              </w:rPr>
              <w:tab/>
              <w:t>]</w:t>
            </w:r>
          </w:p>
        </w:tc>
      </w:tr>
      <w:tr>
        <w:trPr/>
        <w:tc>
          <w:tcPr>
            <w:tcW w:w="3402" w:type="dxa"/>
            <w:tcBorders/>
          </w:tcPr>
          <w:p>
            <w:pPr>
              <w:pStyle w:val="Normal"/>
              <w:spacing w:before="20" w:after="60"/>
              <w:rPr>
                <w:color w:val="000000"/>
                <w:sz w:val="24"/>
              </w:rPr>
            </w:pPr>
            <w:r>
              <w:rPr>
                <w:color w:val="000000"/>
                <w:sz w:val="24"/>
              </w:rPr>
              <w:t>Buyer:</w:t>
            </w:r>
          </w:p>
        </w:tc>
        <w:tc>
          <w:tcPr>
            <w:tcW w:w="6379" w:type="dxa"/>
            <w:tcBorders/>
          </w:tcPr>
          <w:p>
            <w:pPr>
              <w:pStyle w:val="Normal"/>
              <w:tabs>
                <w:tab w:val="clear" w:pos="720"/>
                <w:tab w:val="left" w:pos="1734" w:leader="none"/>
              </w:tabs>
              <w:spacing w:before="20" w:after="60"/>
              <w:rPr/>
            </w:pPr>
            <w:r>
              <w:rPr>
                <w:color w:val="000000"/>
                <w:sz w:val="24"/>
              </w:rPr>
              <w:t xml:space="preserve">[ </w:t>
            </w:r>
            <w:r>
              <w:rPr>
                <w:color w:val="0000FF"/>
                <w:sz w:val="24"/>
              </w:rPr>
              <w:t>Exchange</w:t>
            </w:r>
            <w:r>
              <w:rPr>
                <w:color w:val="000000"/>
                <w:sz w:val="24"/>
              </w:rPr>
              <w:tab/>
              <w:t>]</w:t>
            </w:r>
          </w:p>
        </w:tc>
      </w:tr>
      <w:tr>
        <w:trPr/>
        <w:tc>
          <w:tcPr>
            <w:tcW w:w="3402" w:type="dxa"/>
            <w:tcBorders/>
          </w:tcPr>
          <w:p>
            <w:pPr>
              <w:pStyle w:val="Normal"/>
              <w:spacing w:before="20" w:after="60"/>
              <w:rPr>
                <w:color w:val="000000"/>
                <w:sz w:val="24"/>
              </w:rPr>
            </w:pPr>
            <w:r>
              <w:rPr>
                <w:color w:val="000000"/>
                <w:sz w:val="24"/>
              </w:rPr>
              <w:t>Reference Entity:</w:t>
            </w:r>
          </w:p>
          <w:p>
            <w:pPr>
              <w:pStyle w:val="Normal"/>
              <w:spacing w:before="20" w:after="60"/>
              <w:rPr>
                <w:color w:val="0000FF"/>
                <w:sz w:val="24"/>
              </w:rPr>
            </w:pPr>
            <w:r>
              <w:rPr>
                <w:color w:val="0000FF"/>
                <w:sz w:val="24"/>
              </w:rPr>
              <w:t>Reference Obligation:</w:t>
            </w:r>
          </w:p>
        </w:tc>
        <w:tc>
          <w:tcPr>
            <w:tcW w:w="6379" w:type="dxa"/>
            <w:tcBorders/>
          </w:tcPr>
          <w:p>
            <w:pPr>
              <w:pStyle w:val="Normal"/>
              <w:tabs>
                <w:tab w:val="clear" w:pos="720"/>
                <w:tab w:val="left" w:pos="1734" w:leader="none"/>
              </w:tabs>
              <w:spacing w:before="20" w:after="60"/>
              <w:rPr/>
            </w:pPr>
            <w:r>
              <w:rPr>
                <w:color w:val="000000"/>
                <w:sz w:val="24"/>
              </w:rPr>
              <w:t xml:space="preserve">[ </w:t>
            </w:r>
            <w:r>
              <w:rPr>
                <w:color w:val="0000FF"/>
                <w:sz w:val="24"/>
              </w:rPr>
              <w:t>Co A’s</w:t>
            </w:r>
            <w:r>
              <w:rPr>
                <w:color w:val="000000"/>
                <w:sz w:val="24"/>
              </w:rPr>
              <w:tab/>
              <w:t>]</w:t>
            </w:r>
          </w:p>
          <w:p>
            <w:pPr>
              <w:pStyle w:val="Normal"/>
              <w:tabs>
                <w:tab w:val="clear" w:pos="720"/>
                <w:tab w:val="left" w:pos="1734" w:leader="none"/>
              </w:tabs>
              <w:spacing w:before="20" w:after="60"/>
              <w:rPr>
                <w:color w:val="000000"/>
                <w:sz w:val="24"/>
              </w:rPr>
            </w:pPr>
            <w:r>
              <w:rPr>
                <w:color w:val="0000FF"/>
                <w:sz w:val="24"/>
              </w:rPr>
              <w:t>[Net obligations based on the contractual terms and conditions of XYZ Exchange]</w:t>
            </w:r>
          </w:p>
        </w:tc>
      </w:tr>
      <w:tr>
        <w:trPr/>
        <w:tc>
          <w:tcPr>
            <w:tcW w:w="3402" w:type="dxa"/>
            <w:tcBorders/>
          </w:tcPr>
          <w:p>
            <w:pPr>
              <w:pStyle w:val="Normal"/>
              <w:spacing w:before="20" w:after="60"/>
              <w:rPr>
                <w:color w:val="000000"/>
                <w:sz w:val="24"/>
              </w:rPr>
            </w:pPr>
            <w:r>
              <w:rPr>
                <w:color w:val="000000"/>
                <w:sz w:val="24"/>
              </w:rPr>
              <w:t>Trade Date:</w:t>
            </w:r>
          </w:p>
        </w:tc>
        <w:tc>
          <w:tcPr>
            <w:tcW w:w="6379" w:type="dxa"/>
            <w:tcBorders/>
          </w:tcPr>
          <w:p>
            <w:pPr>
              <w:pStyle w:val="Normal"/>
              <w:tabs>
                <w:tab w:val="clear" w:pos="720"/>
                <w:tab w:val="left" w:pos="1734" w:leader="none"/>
              </w:tabs>
              <w:spacing w:before="20" w:after="60"/>
              <w:rPr>
                <w:color w:val="000000"/>
                <w:sz w:val="24"/>
              </w:rPr>
            </w:pPr>
            <w:r>
              <w:rPr>
                <w:color w:val="000000"/>
                <w:sz w:val="24"/>
              </w:rPr>
              <w:t>[</w:t>
              <w:tab/>
              <w:t>]</w:t>
            </w:r>
          </w:p>
        </w:tc>
      </w:tr>
      <w:tr>
        <w:trPr/>
        <w:tc>
          <w:tcPr>
            <w:tcW w:w="3402" w:type="dxa"/>
            <w:tcBorders/>
          </w:tcPr>
          <w:p>
            <w:pPr>
              <w:pStyle w:val="Normal"/>
              <w:spacing w:before="20" w:after="60"/>
              <w:rPr>
                <w:color w:val="000000"/>
                <w:sz w:val="24"/>
              </w:rPr>
            </w:pPr>
            <w:r>
              <w:rPr>
                <w:color w:val="000000"/>
                <w:sz w:val="24"/>
              </w:rPr>
              <w:t>Effective Date:</w:t>
            </w:r>
          </w:p>
        </w:tc>
        <w:tc>
          <w:tcPr>
            <w:tcW w:w="6379" w:type="dxa"/>
            <w:tcBorders/>
          </w:tcPr>
          <w:p>
            <w:pPr>
              <w:pStyle w:val="Normal"/>
              <w:tabs>
                <w:tab w:val="clear" w:pos="720"/>
                <w:tab w:val="left" w:pos="1734" w:leader="none"/>
              </w:tabs>
              <w:spacing w:before="20" w:after="60"/>
              <w:rPr>
                <w:color w:val="0000FF"/>
                <w:sz w:val="24"/>
              </w:rPr>
            </w:pPr>
            <w:r>
              <w:rPr>
                <w:color w:val="0000FF"/>
                <w:sz w:val="24"/>
              </w:rPr>
              <w:t>Five business days after the trade date</w:t>
            </w:r>
          </w:p>
        </w:tc>
      </w:tr>
      <w:tr>
        <w:trPr/>
        <w:tc>
          <w:tcPr>
            <w:tcW w:w="3402" w:type="dxa"/>
            <w:tcBorders/>
          </w:tcPr>
          <w:p>
            <w:pPr>
              <w:pStyle w:val="Normal"/>
              <w:spacing w:before="20" w:after="60"/>
              <w:rPr>
                <w:color w:val="000000"/>
                <w:sz w:val="24"/>
              </w:rPr>
            </w:pPr>
            <w:r>
              <w:rPr>
                <w:color w:val="000000"/>
                <w:sz w:val="24"/>
              </w:rPr>
              <w:t>Scheduled Termination Date:</w:t>
            </w:r>
          </w:p>
        </w:tc>
        <w:tc>
          <w:tcPr>
            <w:tcW w:w="6379" w:type="dxa"/>
            <w:tcBorders/>
          </w:tcPr>
          <w:p>
            <w:pPr>
              <w:pStyle w:val="Normal"/>
              <w:tabs>
                <w:tab w:val="clear" w:pos="720"/>
                <w:tab w:val="left" w:pos="1734" w:leader="none"/>
              </w:tabs>
              <w:spacing w:before="20" w:after="60"/>
              <w:rPr>
                <w:color w:val="000000"/>
                <w:sz w:val="24"/>
              </w:rPr>
            </w:pPr>
            <w:r>
              <w:rPr>
                <w:color w:val="000000"/>
                <w:sz w:val="24"/>
              </w:rPr>
              <w:t>[</w:t>
              <w:tab/>
              <w:t>]</w:t>
            </w:r>
          </w:p>
        </w:tc>
      </w:tr>
      <w:tr>
        <w:trPr/>
        <w:tc>
          <w:tcPr>
            <w:tcW w:w="3402" w:type="dxa"/>
            <w:tcBorders/>
          </w:tcPr>
          <w:p>
            <w:pPr>
              <w:pStyle w:val="Normal"/>
              <w:spacing w:before="20" w:after="60"/>
              <w:rPr>
                <w:color w:val="000000"/>
                <w:sz w:val="24"/>
              </w:rPr>
            </w:pPr>
            <w:r>
              <w:rPr>
                <w:color w:val="000000"/>
                <w:sz w:val="24"/>
              </w:rPr>
              <w:t>Notional Amount  :</w:t>
            </w:r>
          </w:p>
        </w:tc>
        <w:tc>
          <w:tcPr>
            <w:tcW w:w="6379" w:type="dxa"/>
            <w:tcBorders/>
          </w:tcPr>
          <w:p>
            <w:pPr>
              <w:pStyle w:val="Normal"/>
              <w:tabs>
                <w:tab w:val="clear" w:pos="720"/>
                <w:tab w:val="left" w:pos="1734" w:leader="none"/>
              </w:tabs>
              <w:spacing w:before="20" w:after="60"/>
              <w:rPr>
                <w:color w:val="000000"/>
                <w:sz w:val="24"/>
              </w:rPr>
            </w:pPr>
            <w:r>
              <w:rPr>
                <w:color w:val="000000"/>
                <w:sz w:val="24"/>
              </w:rPr>
              <w:t>[</w:t>
              <w:tab/>
              <w:t>]</w:t>
            </w:r>
          </w:p>
        </w:tc>
      </w:tr>
      <w:tr>
        <w:trPr/>
        <w:tc>
          <w:tcPr>
            <w:tcW w:w="3402" w:type="dxa"/>
            <w:tcBorders/>
          </w:tcPr>
          <w:p>
            <w:pPr>
              <w:pStyle w:val="Normal"/>
              <w:spacing w:before="20" w:after="60"/>
              <w:rPr>
                <w:color w:val="000000"/>
                <w:sz w:val="24"/>
              </w:rPr>
            </w:pPr>
            <w:r>
              <w:rPr>
                <w:color w:val="000000"/>
                <w:sz w:val="24"/>
              </w:rPr>
              <w:t>Contractual Currency:</w:t>
            </w:r>
          </w:p>
        </w:tc>
        <w:tc>
          <w:tcPr>
            <w:tcW w:w="6379" w:type="dxa"/>
            <w:tcBorders/>
          </w:tcPr>
          <w:p>
            <w:pPr>
              <w:pStyle w:val="Normal"/>
              <w:tabs>
                <w:tab w:val="clear" w:pos="720"/>
                <w:tab w:val="left" w:pos="1734" w:leader="none"/>
              </w:tabs>
              <w:spacing w:before="20" w:after="60"/>
              <w:rPr>
                <w:color w:val="000000"/>
                <w:sz w:val="24"/>
              </w:rPr>
            </w:pPr>
            <w:r>
              <w:rPr>
                <w:color w:val="000000"/>
                <w:sz w:val="24"/>
              </w:rPr>
              <w:t>[</w:t>
              <w:tab/>
              <w:t>]</w:t>
            </w:r>
          </w:p>
        </w:tc>
      </w:tr>
      <w:tr>
        <w:trPr/>
        <w:tc>
          <w:tcPr>
            <w:tcW w:w="3402" w:type="dxa"/>
            <w:tcBorders/>
          </w:tcPr>
          <w:p>
            <w:pPr>
              <w:pStyle w:val="Normal"/>
              <w:spacing w:before="20" w:after="60"/>
              <w:rPr>
                <w:color w:val="000000"/>
                <w:sz w:val="24"/>
              </w:rPr>
            </w:pPr>
            <w:r>
              <w:rPr>
                <w:color w:val="000000"/>
                <w:sz w:val="24"/>
              </w:rPr>
              <w:t>Failure to Pay  Event Definition:</w:t>
            </w:r>
          </w:p>
        </w:tc>
        <w:tc>
          <w:tcPr>
            <w:tcW w:w="6379" w:type="dxa"/>
            <w:tcBorders/>
          </w:tcPr>
          <w:p>
            <w:pPr>
              <w:pStyle w:val="Normal"/>
              <w:tabs>
                <w:tab w:val="clear" w:pos="720"/>
                <w:tab w:val="left" w:pos="1734" w:leader="none"/>
              </w:tabs>
              <w:spacing w:before="20" w:after="60"/>
              <w:rPr>
                <w:color w:val="0000FF"/>
                <w:sz w:val="24"/>
              </w:rPr>
            </w:pPr>
            <w:r>
              <w:rPr>
                <w:color w:val="0000FF"/>
                <w:sz w:val="24"/>
              </w:rPr>
              <w:t>See “Failure to pay event” below</w:t>
            </w:r>
          </w:p>
        </w:tc>
      </w:tr>
      <w:tr>
        <w:trPr>
          <w:trHeight w:val="189" w:hRule="atLeast"/>
        </w:trPr>
        <w:tc>
          <w:tcPr>
            <w:tcW w:w="3402" w:type="dxa"/>
            <w:tcBorders/>
          </w:tcPr>
          <w:p>
            <w:pPr>
              <w:pStyle w:val="Normal"/>
              <w:spacing w:before="20" w:after="60"/>
              <w:rPr>
                <w:color w:val="000000"/>
                <w:sz w:val="24"/>
              </w:rPr>
            </w:pPr>
            <w:r>
              <w:rPr>
                <w:color w:val="000000"/>
                <w:sz w:val="24"/>
              </w:rPr>
              <w:t>Determination Agent:</w:t>
            </w:r>
          </w:p>
        </w:tc>
        <w:tc>
          <w:tcPr>
            <w:tcW w:w="6379" w:type="dxa"/>
            <w:tcBorders/>
          </w:tcPr>
          <w:p>
            <w:pPr>
              <w:pStyle w:val="Normal"/>
              <w:tabs>
                <w:tab w:val="clear" w:pos="720"/>
                <w:tab w:val="left" w:pos="1734" w:leader="none"/>
              </w:tabs>
              <w:spacing w:before="20" w:after="60"/>
              <w:rPr>
                <w:color w:val="000000"/>
                <w:sz w:val="24"/>
              </w:rPr>
            </w:pPr>
            <w:r>
              <w:rPr>
                <w:color w:val="000000"/>
                <w:sz w:val="24"/>
              </w:rPr>
              <w:t>[Enroncredit.com</w:t>
              <w:tab/>
              <w:t>]</w:t>
            </w:r>
          </w:p>
        </w:tc>
      </w:tr>
      <w:tr>
        <w:trPr/>
        <w:tc>
          <w:tcPr>
            <w:tcW w:w="3402" w:type="dxa"/>
            <w:tcBorders/>
          </w:tcPr>
          <w:p>
            <w:pPr>
              <w:pStyle w:val="Normal"/>
              <w:snapToGrid w:val="false"/>
              <w:spacing w:before="20" w:after="60"/>
              <w:rPr>
                <w:b/>
                <w:color w:val="000000"/>
                <w:sz w:val="24"/>
              </w:rPr>
            </w:pPr>
            <w:r>
              <w:rPr>
                <w:b/>
                <w:color w:val="000000"/>
                <w:sz w:val="24"/>
              </w:rPr>
            </w:r>
          </w:p>
        </w:tc>
        <w:tc>
          <w:tcPr>
            <w:tcW w:w="6379" w:type="dxa"/>
            <w:tcBorders/>
          </w:tcPr>
          <w:p>
            <w:pPr>
              <w:pStyle w:val="Normal"/>
              <w:tabs>
                <w:tab w:val="clear" w:pos="720"/>
                <w:tab w:val="left" w:pos="1734" w:leader="none"/>
              </w:tabs>
              <w:snapToGrid w:val="false"/>
              <w:spacing w:before="20" w:after="60"/>
              <w:rPr>
                <w:b/>
                <w:color w:val="000000"/>
                <w:sz w:val="24"/>
              </w:rPr>
            </w:pPr>
            <w:r>
              <w:rPr>
                <w:b/>
                <w:color w:val="000000"/>
                <w:sz w:val="24"/>
              </w:rPr>
            </w:r>
          </w:p>
        </w:tc>
      </w:tr>
      <w:tr>
        <w:trPr/>
        <w:tc>
          <w:tcPr>
            <w:tcW w:w="3402" w:type="dxa"/>
            <w:tcBorders/>
          </w:tcPr>
          <w:p>
            <w:pPr>
              <w:pStyle w:val="Normal"/>
              <w:spacing w:before="20" w:after="60"/>
              <w:rPr>
                <w:b/>
                <w:color w:val="000000"/>
                <w:sz w:val="24"/>
              </w:rPr>
            </w:pPr>
            <w:r>
              <w:rPr>
                <w:b/>
                <w:color w:val="000000"/>
                <w:sz w:val="24"/>
              </w:rPr>
              <w:t>2. Buyer Payments</w:t>
            </w:r>
          </w:p>
        </w:tc>
        <w:tc>
          <w:tcPr>
            <w:tcW w:w="6379" w:type="dxa"/>
            <w:tcBorders/>
          </w:tcPr>
          <w:p>
            <w:pPr>
              <w:pStyle w:val="Normal"/>
              <w:tabs>
                <w:tab w:val="clear" w:pos="720"/>
                <w:tab w:val="left" w:pos="1734" w:leader="none"/>
              </w:tabs>
              <w:snapToGrid w:val="false"/>
              <w:spacing w:before="20" w:after="60"/>
              <w:rPr>
                <w:b/>
                <w:color w:val="000000"/>
                <w:sz w:val="24"/>
              </w:rPr>
            </w:pPr>
            <w:r>
              <w:rPr>
                <w:b/>
                <w:color w:val="000000"/>
                <w:sz w:val="24"/>
              </w:rPr>
            </w:r>
          </w:p>
        </w:tc>
      </w:tr>
      <w:tr>
        <w:trPr/>
        <w:tc>
          <w:tcPr>
            <w:tcW w:w="3402" w:type="dxa"/>
            <w:tcBorders/>
          </w:tcPr>
          <w:p>
            <w:pPr>
              <w:pStyle w:val="Normal"/>
              <w:snapToGrid w:val="false"/>
              <w:spacing w:before="20" w:after="60"/>
              <w:rPr>
                <w:color w:val="000000"/>
                <w:sz w:val="24"/>
              </w:rPr>
            </w:pPr>
            <w:r>
              <w:rPr>
                <w:color w:val="000000"/>
                <w:sz w:val="24"/>
              </w:rPr>
            </w:r>
          </w:p>
        </w:tc>
        <w:tc>
          <w:tcPr>
            <w:tcW w:w="6379" w:type="dxa"/>
            <w:tcBorders/>
          </w:tcPr>
          <w:p>
            <w:pPr>
              <w:pStyle w:val="Normal"/>
              <w:tabs>
                <w:tab w:val="clear" w:pos="720"/>
                <w:tab w:val="left" w:pos="1734" w:leader="none"/>
              </w:tabs>
              <w:snapToGrid w:val="false"/>
              <w:spacing w:before="20" w:after="60"/>
              <w:rPr>
                <w:color w:val="000000"/>
                <w:sz w:val="24"/>
              </w:rPr>
            </w:pPr>
            <w:r>
              <w:rPr>
                <w:color w:val="000000"/>
                <w:sz w:val="24"/>
              </w:rPr>
            </w:r>
          </w:p>
        </w:tc>
      </w:tr>
      <w:tr>
        <w:trPr/>
        <w:tc>
          <w:tcPr>
            <w:tcW w:w="3402" w:type="dxa"/>
            <w:tcBorders/>
          </w:tcPr>
          <w:p>
            <w:pPr>
              <w:pStyle w:val="Normal"/>
              <w:spacing w:before="20" w:after="60"/>
              <w:rPr>
                <w:color w:val="000000"/>
                <w:sz w:val="24"/>
              </w:rPr>
            </w:pPr>
            <w:r>
              <w:rPr>
                <w:color w:val="000000"/>
                <w:sz w:val="24"/>
              </w:rPr>
              <w:t>Buyer Payment:</w:t>
            </w:r>
          </w:p>
        </w:tc>
        <w:tc>
          <w:tcPr>
            <w:tcW w:w="6379" w:type="dxa"/>
            <w:tcBorders/>
          </w:tcPr>
          <w:p>
            <w:pPr>
              <w:pStyle w:val="Normal"/>
              <w:tabs>
                <w:tab w:val="clear" w:pos="720"/>
                <w:tab w:val="left" w:pos="1734" w:leader="none"/>
              </w:tabs>
              <w:spacing w:before="20" w:after="60"/>
              <w:jc w:val="both"/>
              <w:rPr>
                <w:color w:val="000000"/>
                <w:sz w:val="24"/>
              </w:rPr>
            </w:pPr>
            <w:r>
              <w:rPr>
                <w:color w:val="000000"/>
                <w:sz w:val="24"/>
              </w:rPr>
              <w:t>[</w:t>
              <w:tab/>
              <w:t>] basis points per annum multiplied by the Notional Amount, to be paid by the Buyer to the Seller quarterly in arrears on the Buyer Payment Dates.</w:t>
            </w:r>
          </w:p>
          <w:p>
            <w:pPr>
              <w:pStyle w:val="Normal"/>
              <w:tabs>
                <w:tab w:val="clear" w:pos="720"/>
                <w:tab w:val="left" w:pos="1734" w:leader="none"/>
              </w:tabs>
              <w:spacing w:before="20" w:after="60"/>
              <w:jc w:val="both"/>
              <w:rPr>
                <w:color w:val="000000"/>
                <w:sz w:val="24"/>
              </w:rPr>
            </w:pPr>
            <w:r>
              <w:rPr>
                <w:color w:val="000000"/>
                <w:sz w:val="24"/>
              </w:rPr>
            </w:r>
          </w:p>
          <w:p>
            <w:pPr>
              <w:pStyle w:val="Normal"/>
              <w:tabs>
                <w:tab w:val="clear" w:pos="720"/>
                <w:tab w:val="left" w:pos="1734" w:leader="none"/>
              </w:tabs>
              <w:spacing w:before="20" w:after="60"/>
              <w:jc w:val="both"/>
              <w:rPr>
                <w:color w:val="0000FF"/>
                <w:sz w:val="24"/>
              </w:rPr>
            </w:pPr>
            <w:r>
              <w:rPr>
                <w:color w:val="0000FF"/>
                <w:sz w:val="24"/>
              </w:rPr>
              <w:t xml:space="preserve">Any payment(s), including late fee, received by the exchange from the reference entity after the stipulated payment date on the reference obligation above AND after the seller payment has been received by the buyer </w:t>
            </w:r>
          </w:p>
          <w:p>
            <w:pPr>
              <w:pStyle w:val="Normal"/>
              <w:tabs>
                <w:tab w:val="clear" w:pos="720"/>
                <w:tab w:val="left" w:pos="1734" w:leader="none"/>
              </w:tabs>
              <w:spacing w:before="20" w:after="60"/>
              <w:rPr>
                <w:color w:val="000000"/>
                <w:sz w:val="24"/>
              </w:rPr>
            </w:pPr>
            <w:r>
              <w:rPr>
                <w:color w:val="000000"/>
                <w:sz w:val="24"/>
              </w:rPr>
            </w:r>
          </w:p>
        </w:tc>
      </w:tr>
      <w:tr>
        <w:trPr>
          <w:trHeight w:val="211" w:hRule="atLeast"/>
        </w:trPr>
        <w:tc>
          <w:tcPr>
            <w:tcW w:w="3402" w:type="dxa"/>
            <w:tcBorders/>
          </w:tcPr>
          <w:p>
            <w:pPr>
              <w:pStyle w:val="Normal"/>
              <w:spacing w:before="20" w:after="60"/>
              <w:rPr>
                <w:color w:val="000000"/>
                <w:sz w:val="24"/>
              </w:rPr>
            </w:pPr>
            <w:r>
              <w:rPr>
                <w:color w:val="000000"/>
                <w:sz w:val="24"/>
              </w:rPr>
              <w:t>Buyer Payment Dates:</w:t>
            </w:r>
          </w:p>
        </w:tc>
        <w:tc>
          <w:tcPr>
            <w:tcW w:w="6379" w:type="dxa"/>
            <w:tcBorders/>
          </w:tcPr>
          <w:p>
            <w:pPr>
              <w:pStyle w:val="Heading3"/>
              <w:spacing w:before="20" w:after="60"/>
              <w:ind w:hanging="0" w:start="0"/>
              <w:jc w:val="both"/>
              <w:rPr>
                <w:color w:val="000000"/>
              </w:rPr>
            </w:pPr>
            <w:r>
              <w:rPr>
                <w:color w:val="000000"/>
              </w:rPr>
              <w:t>The last Business Day in March, June, September and December and, in respect of the final Buyer Payment, the Scheduled Termination Date.</w:t>
            </w:r>
          </w:p>
          <w:p>
            <w:pPr>
              <w:pStyle w:val="Normal"/>
              <w:rPr>
                <w:color w:val="000000"/>
              </w:rPr>
            </w:pPr>
            <w:r>
              <w:rPr>
                <w:color w:val="000000"/>
              </w:rPr>
            </w:r>
          </w:p>
          <w:p>
            <w:pPr>
              <w:pStyle w:val="Normal"/>
              <w:rPr>
                <w:color w:val="0000FF"/>
                <w:sz w:val="24"/>
              </w:rPr>
            </w:pPr>
            <w:r>
              <w:rPr>
                <w:color w:val="0000FF"/>
                <w:sz w:val="24"/>
              </w:rPr>
              <w:t>Three business days after the reference entity payments have been received by the buyer</w:t>
            </w:r>
          </w:p>
        </w:tc>
      </w:tr>
      <w:tr>
        <w:trPr/>
        <w:tc>
          <w:tcPr>
            <w:tcW w:w="3402" w:type="dxa"/>
            <w:tcBorders/>
          </w:tcPr>
          <w:p>
            <w:pPr>
              <w:pStyle w:val="Normal"/>
              <w:snapToGrid w:val="false"/>
              <w:spacing w:before="20" w:after="60"/>
              <w:rPr>
                <w:b/>
                <w:color w:val="000000"/>
                <w:sz w:val="24"/>
              </w:rPr>
            </w:pPr>
            <w:r>
              <w:rPr>
                <w:b/>
                <w:color w:val="000000"/>
                <w:sz w:val="24"/>
              </w:rPr>
            </w:r>
          </w:p>
        </w:tc>
        <w:tc>
          <w:tcPr>
            <w:tcW w:w="6379" w:type="dxa"/>
            <w:tcBorders/>
          </w:tcPr>
          <w:p>
            <w:pPr>
              <w:pStyle w:val="Heading3"/>
              <w:snapToGrid w:val="false"/>
              <w:spacing w:before="20" w:after="60"/>
              <w:ind w:hanging="0" w:start="0"/>
              <w:rPr>
                <w:b/>
                <w:color w:val="000000"/>
                <w:sz w:val="24"/>
              </w:rPr>
            </w:pPr>
            <w:r>
              <w:rPr>
                <w:b/>
                <w:color w:val="000000"/>
                <w:sz w:val="24"/>
              </w:rPr>
            </w:r>
          </w:p>
        </w:tc>
      </w:tr>
      <w:tr>
        <w:trPr/>
        <w:tc>
          <w:tcPr>
            <w:tcW w:w="3402" w:type="dxa"/>
            <w:tcBorders/>
          </w:tcPr>
          <w:p>
            <w:pPr>
              <w:pStyle w:val="Normal"/>
              <w:spacing w:before="20" w:after="60"/>
              <w:rPr>
                <w:color w:val="000000"/>
                <w:sz w:val="24"/>
              </w:rPr>
            </w:pPr>
            <w:r>
              <w:rPr>
                <w:b/>
                <w:color w:val="000000"/>
                <w:sz w:val="24"/>
              </w:rPr>
              <w:t>3. Seller Payment</w:t>
            </w:r>
          </w:p>
        </w:tc>
        <w:tc>
          <w:tcPr>
            <w:tcW w:w="6379" w:type="dxa"/>
            <w:tcBorders/>
          </w:tcPr>
          <w:p>
            <w:pPr>
              <w:pStyle w:val="Heading3"/>
              <w:snapToGrid w:val="false"/>
              <w:spacing w:before="20" w:after="60"/>
              <w:ind w:hanging="0" w:start="0"/>
              <w:rPr>
                <w:color w:val="000000"/>
                <w:sz w:val="24"/>
              </w:rPr>
            </w:pPr>
            <w:r>
              <w:rPr>
                <w:color w:val="000000"/>
                <w:sz w:val="24"/>
              </w:rPr>
            </w:r>
          </w:p>
        </w:tc>
      </w:tr>
      <w:tr>
        <w:trPr/>
        <w:tc>
          <w:tcPr>
            <w:tcW w:w="3402" w:type="dxa"/>
            <w:tcBorders/>
          </w:tcPr>
          <w:p>
            <w:pPr>
              <w:pStyle w:val="Normal"/>
              <w:snapToGrid w:val="false"/>
              <w:spacing w:before="20" w:after="60"/>
              <w:rPr>
                <w:color w:val="000000"/>
                <w:sz w:val="24"/>
              </w:rPr>
            </w:pPr>
            <w:r>
              <w:rPr>
                <w:color w:val="000000"/>
                <w:sz w:val="24"/>
              </w:rPr>
            </w:r>
          </w:p>
        </w:tc>
        <w:tc>
          <w:tcPr>
            <w:tcW w:w="6379" w:type="dxa"/>
            <w:tcBorders/>
          </w:tcPr>
          <w:p>
            <w:pPr>
              <w:pStyle w:val="Normal"/>
              <w:snapToGrid w:val="false"/>
              <w:spacing w:before="20" w:after="60"/>
              <w:rPr>
                <w:color w:val="000000"/>
                <w:sz w:val="24"/>
              </w:rPr>
            </w:pPr>
            <w:r>
              <w:rPr>
                <w:color w:val="000000"/>
                <w:sz w:val="24"/>
              </w:rPr>
            </w:r>
          </w:p>
        </w:tc>
      </w:tr>
      <w:tr>
        <w:trPr/>
        <w:tc>
          <w:tcPr>
            <w:tcW w:w="3402" w:type="dxa"/>
            <w:tcBorders/>
          </w:tcPr>
          <w:p>
            <w:pPr>
              <w:pStyle w:val="Normal"/>
              <w:spacing w:before="20" w:after="60"/>
              <w:rPr>
                <w:color w:val="000000"/>
                <w:sz w:val="24"/>
              </w:rPr>
            </w:pPr>
            <w:r>
              <w:rPr>
                <w:color w:val="000000"/>
                <w:sz w:val="24"/>
              </w:rPr>
              <w:t>Seller Payment:</w:t>
            </w:r>
          </w:p>
          <w:p>
            <w:pPr>
              <w:pStyle w:val="Normal"/>
              <w:spacing w:before="20" w:after="60"/>
              <w:rPr>
                <w:color w:val="000000"/>
                <w:sz w:val="24"/>
              </w:rPr>
            </w:pPr>
            <w:r>
              <w:rPr>
                <w:color w:val="000000"/>
                <w:sz w:val="24"/>
              </w:rPr>
            </w:r>
          </w:p>
          <w:p>
            <w:pPr>
              <w:pStyle w:val="Normal"/>
              <w:spacing w:before="20" w:after="60"/>
              <w:rPr>
                <w:color w:val="000000"/>
                <w:sz w:val="24"/>
              </w:rPr>
            </w:pPr>
            <w:r>
              <w:rPr>
                <w:color w:val="000000"/>
                <w:sz w:val="24"/>
              </w:rPr>
            </w:r>
          </w:p>
        </w:tc>
        <w:tc>
          <w:tcPr>
            <w:tcW w:w="6379" w:type="dxa"/>
            <w:tcBorders/>
          </w:tcPr>
          <w:p>
            <w:pPr>
              <w:pStyle w:val="Normal"/>
              <w:spacing w:before="20" w:after="60"/>
              <w:jc w:val="both"/>
              <w:rPr>
                <w:color w:val="0000FF"/>
                <w:sz w:val="24"/>
              </w:rPr>
            </w:pPr>
            <w:r>
              <w:rPr>
                <w:color w:val="0000FF"/>
                <w:sz w:val="24"/>
              </w:rPr>
              <w:t>100% of the Notional Amount, to be paid by the Seller to the Buyer.</w:t>
            </w:r>
          </w:p>
        </w:tc>
      </w:tr>
      <w:tr>
        <w:trPr/>
        <w:tc>
          <w:tcPr>
            <w:tcW w:w="3402" w:type="dxa"/>
            <w:tcBorders/>
          </w:tcPr>
          <w:p>
            <w:pPr>
              <w:pStyle w:val="Normal"/>
              <w:keepLines/>
              <w:spacing w:before="20" w:after="60"/>
              <w:rPr>
                <w:color w:val="000000"/>
                <w:sz w:val="24"/>
              </w:rPr>
            </w:pPr>
            <w:r>
              <w:rPr>
                <w:color w:val="000000"/>
                <w:sz w:val="24"/>
              </w:rPr>
              <w:t>Seller Payment Date:</w:t>
            </w:r>
          </w:p>
        </w:tc>
        <w:tc>
          <w:tcPr>
            <w:tcW w:w="6379" w:type="dxa"/>
            <w:tcBorders/>
          </w:tcPr>
          <w:p>
            <w:pPr>
              <w:pStyle w:val="Normal"/>
              <w:keepLines/>
              <w:spacing w:before="20" w:after="60"/>
              <w:jc w:val="both"/>
              <w:rPr>
                <w:color w:val="0000FF"/>
                <w:sz w:val="24"/>
              </w:rPr>
            </w:pPr>
            <w:r>
              <w:rPr>
                <w:color w:val="0000FF"/>
                <w:sz w:val="24"/>
              </w:rPr>
              <w:t xml:space="preserve">5 Business Days after delivery by Buyer of a valid notice of the “failure to pay event” </w:t>
            </w:r>
          </w:p>
        </w:tc>
      </w:tr>
    </w:tbl>
    <w:p>
      <w:pPr>
        <w:pStyle w:val="Normal"/>
        <w:keepLines/>
        <w:rPr>
          <w:sz w:val="24"/>
        </w:rPr>
      </w:pPr>
      <w:r>
        <w:rPr>
          <w:sz w:val="24"/>
        </w:rPr>
      </w:r>
    </w:p>
    <w:tbl>
      <w:tblPr>
        <w:tblW w:w="9781" w:type="dxa"/>
        <w:jc w:val="start"/>
        <w:tblInd w:w="108" w:type="dxa"/>
        <w:tblLayout w:type="fixed"/>
        <w:tblCellMar>
          <w:top w:w="0" w:type="dxa"/>
          <w:start w:w="108" w:type="dxa"/>
          <w:bottom w:w="0" w:type="dxa"/>
          <w:end w:w="108" w:type="dxa"/>
        </w:tblCellMar>
      </w:tblPr>
      <w:tblGrid>
        <w:gridCol w:w="3402"/>
        <w:gridCol w:w="6379"/>
      </w:tblGrid>
      <w:tr>
        <w:trPr/>
        <w:tc>
          <w:tcPr>
            <w:tcW w:w="3402" w:type="dxa"/>
            <w:tcBorders/>
          </w:tcPr>
          <w:p>
            <w:pPr>
              <w:pStyle w:val="Normal"/>
              <w:keepLines/>
              <w:spacing w:before="20" w:after="60"/>
              <w:rPr>
                <w:b/>
                <w:color w:val="000000"/>
                <w:sz w:val="24"/>
              </w:rPr>
            </w:pPr>
            <w:r>
              <w:rPr>
                <w:b/>
                <w:color w:val="000000"/>
                <w:sz w:val="24"/>
              </w:rPr>
              <w:t>4. General Legal Terms</w:t>
            </w:r>
          </w:p>
        </w:tc>
        <w:tc>
          <w:tcPr>
            <w:tcW w:w="6379" w:type="dxa"/>
            <w:tcBorders/>
          </w:tcPr>
          <w:p>
            <w:pPr>
              <w:pStyle w:val="Normal"/>
              <w:keepLines/>
              <w:snapToGrid w:val="false"/>
              <w:spacing w:before="20" w:after="60"/>
              <w:rPr>
                <w:b/>
                <w:color w:val="000000"/>
                <w:sz w:val="24"/>
              </w:rPr>
            </w:pPr>
            <w:r>
              <w:rPr>
                <w:b/>
                <w:color w:val="000000"/>
                <w:sz w:val="24"/>
              </w:rPr>
            </w:r>
          </w:p>
        </w:tc>
      </w:tr>
      <w:tr>
        <w:trPr/>
        <w:tc>
          <w:tcPr>
            <w:tcW w:w="3402" w:type="dxa"/>
            <w:tcBorders/>
          </w:tcPr>
          <w:p>
            <w:pPr>
              <w:pStyle w:val="Normal"/>
              <w:keepLines/>
              <w:snapToGrid w:val="false"/>
              <w:spacing w:before="20" w:after="60"/>
              <w:rPr>
                <w:color w:val="000000"/>
                <w:sz w:val="24"/>
              </w:rPr>
            </w:pPr>
            <w:r>
              <w:rPr>
                <w:color w:val="000000"/>
                <w:sz w:val="24"/>
              </w:rPr>
            </w:r>
          </w:p>
        </w:tc>
        <w:tc>
          <w:tcPr>
            <w:tcW w:w="6379" w:type="dxa"/>
            <w:tcBorders/>
          </w:tcPr>
          <w:p>
            <w:pPr>
              <w:pStyle w:val="Normal"/>
              <w:keepLines/>
              <w:spacing w:before="20" w:after="60"/>
              <w:rPr>
                <w:color w:val="0000FF"/>
                <w:sz w:val="24"/>
              </w:rPr>
            </w:pPr>
            <w:r>
              <w:rPr>
                <w:color w:val="0000FF"/>
                <w:sz w:val="24"/>
              </w:rPr>
              <w:t>The buyer will always employ its “best efforts” to collect late payments from the reference entity</w:t>
            </w:r>
          </w:p>
        </w:tc>
      </w:tr>
      <w:tr>
        <w:trPr/>
        <w:tc>
          <w:tcPr>
            <w:tcW w:w="3402" w:type="dxa"/>
            <w:tcBorders/>
          </w:tcPr>
          <w:p>
            <w:pPr>
              <w:pStyle w:val="Normal"/>
              <w:keepLines/>
              <w:snapToGrid w:val="false"/>
              <w:spacing w:before="20" w:after="60"/>
              <w:rPr>
                <w:color w:val="000000"/>
                <w:sz w:val="24"/>
              </w:rPr>
            </w:pPr>
            <w:r>
              <w:rPr>
                <w:color w:val="000000"/>
                <w:sz w:val="24"/>
              </w:rPr>
            </w:r>
          </w:p>
        </w:tc>
        <w:tc>
          <w:tcPr>
            <w:tcW w:w="6379" w:type="dxa"/>
            <w:tcBorders/>
          </w:tcPr>
          <w:p>
            <w:pPr>
              <w:pStyle w:val="Normal"/>
              <w:keepLines/>
              <w:snapToGrid w:val="false"/>
              <w:jc w:val="both"/>
              <w:rPr>
                <w:color w:val="000000"/>
                <w:sz w:val="24"/>
              </w:rPr>
            </w:pPr>
            <w:r>
              <w:rPr>
                <w:color w:val="000000"/>
                <w:sz w:val="24"/>
              </w:rPr>
            </w:r>
          </w:p>
        </w:tc>
      </w:tr>
      <w:tr>
        <w:trPr/>
        <w:tc>
          <w:tcPr>
            <w:tcW w:w="3402" w:type="dxa"/>
            <w:tcBorders/>
          </w:tcPr>
          <w:p>
            <w:pPr>
              <w:pStyle w:val="Normal"/>
              <w:keepLines/>
              <w:spacing w:before="20" w:after="60"/>
              <w:rPr>
                <w:color w:val="000000"/>
                <w:sz w:val="24"/>
              </w:rPr>
            </w:pPr>
            <w:r>
              <w:rPr>
                <w:color w:val="000000"/>
                <w:sz w:val="24"/>
              </w:rPr>
              <w:t>Governing Law:</w:t>
            </w:r>
          </w:p>
        </w:tc>
        <w:tc>
          <w:tcPr>
            <w:tcW w:w="6379" w:type="dxa"/>
            <w:tcBorders/>
          </w:tcPr>
          <w:p>
            <w:pPr>
              <w:pStyle w:val="Normal"/>
              <w:keepLines/>
              <w:spacing w:before="20" w:after="60"/>
              <w:rPr>
                <w:color w:val="000000"/>
                <w:sz w:val="24"/>
              </w:rPr>
            </w:pPr>
            <w:r>
              <w:rPr>
                <w:sz w:val="24"/>
              </w:rPr>
              <w:t>State of New York.  Dispute resolution by arbitration under the Commercial Arbitration Rules of the American Arbitration Association and governed by the Federal Arbitration Act.</w:t>
            </w:r>
          </w:p>
        </w:tc>
      </w:tr>
      <w:tr>
        <w:trPr/>
        <w:tc>
          <w:tcPr>
            <w:tcW w:w="3402" w:type="dxa"/>
            <w:tcBorders/>
          </w:tcPr>
          <w:p>
            <w:pPr>
              <w:pStyle w:val="Normal"/>
              <w:keepLines/>
              <w:snapToGrid w:val="false"/>
              <w:spacing w:before="20" w:after="60"/>
              <w:rPr>
                <w:color w:val="000000"/>
                <w:sz w:val="24"/>
              </w:rPr>
            </w:pPr>
            <w:r>
              <w:rPr>
                <w:color w:val="000000"/>
                <w:sz w:val="24"/>
              </w:rPr>
            </w:r>
          </w:p>
        </w:tc>
        <w:tc>
          <w:tcPr>
            <w:tcW w:w="6379" w:type="dxa"/>
            <w:tcBorders/>
          </w:tcPr>
          <w:p>
            <w:pPr>
              <w:pStyle w:val="Normal"/>
              <w:keepLines/>
              <w:snapToGrid w:val="false"/>
              <w:spacing w:before="20" w:after="60"/>
              <w:rPr>
                <w:color w:val="000000"/>
                <w:sz w:val="24"/>
              </w:rPr>
            </w:pPr>
            <w:r>
              <w:rPr>
                <w:color w:val="000000"/>
                <w:sz w:val="24"/>
              </w:rPr>
            </w:r>
          </w:p>
        </w:tc>
      </w:tr>
      <w:tr>
        <w:trPr/>
        <w:tc>
          <w:tcPr>
            <w:tcW w:w="3402" w:type="dxa"/>
            <w:tcBorders/>
          </w:tcPr>
          <w:p>
            <w:pPr>
              <w:pStyle w:val="Normal"/>
              <w:keepLines/>
              <w:spacing w:before="20" w:after="60"/>
              <w:rPr>
                <w:b/>
                <w:color w:val="000000"/>
                <w:sz w:val="24"/>
              </w:rPr>
            </w:pPr>
            <w:r>
              <w:rPr>
                <w:b/>
                <w:color w:val="000000"/>
                <w:sz w:val="24"/>
              </w:rPr>
              <w:t>5. Defined Terms</w:t>
            </w:r>
          </w:p>
        </w:tc>
        <w:tc>
          <w:tcPr>
            <w:tcW w:w="6379" w:type="dxa"/>
            <w:tcBorders/>
          </w:tcPr>
          <w:p>
            <w:pPr>
              <w:pStyle w:val="Normal"/>
              <w:keepLines/>
              <w:snapToGrid w:val="false"/>
              <w:spacing w:before="20" w:after="60"/>
              <w:rPr>
                <w:b/>
                <w:color w:val="000000"/>
                <w:sz w:val="24"/>
              </w:rPr>
            </w:pPr>
            <w:r>
              <w:rPr>
                <w:b/>
                <w:color w:val="000000"/>
                <w:sz w:val="24"/>
              </w:rPr>
            </w:r>
          </w:p>
        </w:tc>
      </w:tr>
      <w:tr>
        <w:trPr/>
        <w:tc>
          <w:tcPr>
            <w:tcW w:w="3402" w:type="dxa"/>
            <w:tcBorders/>
          </w:tcPr>
          <w:p>
            <w:pPr>
              <w:pStyle w:val="Normal"/>
              <w:keepLines/>
              <w:snapToGrid w:val="false"/>
              <w:spacing w:before="20" w:after="60"/>
              <w:rPr>
                <w:b/>
                <w:color w:val="000000"/>
                <w:sz w:val="24"/>
              </w:rPr>
            </w:pPr>
            <w:r>
              <w:rPr>
                <w:b/>
                <w:color w:val="000000"/>
                <w:sz w:val="24"/>
              </w:rPr>
            </w:r>
          </w:p>
        </w:tc>
        <w:tc>
          <w:tcPr>
            <w:tcW w:w="6379" w:type="dxa"/>
            <w:tcBorders/>
          </w:tcPr>
          <w:p>
            <w:pPr>
              <w:pStyle w:val="Normal"/>
              <w:keepLines/>
              <w:snapToGrid w:val="false"/>
              <w:ind w:start="33" w:end="0"/>
              <w:jc w:val="both"/>
              <w:rPr>
                <w:b/>
                <w:color w:val="000000"/>
                <w:sz w:val="24"/>
              </w:rPr>
            </w:pPr>
            <w:r>
              <w:rPr>
                <w:b/>
                <w:color w:val="000000"/>
                <w:sz w:val="24"/>
              </w:rPr>
            </w:r>
          </w:p>
        </w:tc>
      </w:tr>
      <w:tr>
        <w:trPr/>
        <w:tc>
          <w:tcPr>
            <w:tcW w:w="3402" w:type="dxa"/>
            <w:tcBorders/>
          </w:tcPr>
          <w:p>
            <w:pPr>
              <w:pStyle w:val="Normal"/>
              <w:keepLines/>
              <w:spacing w:before="20" w:after="60"/>
              <w:rPr>
                <w:color w:val="000000"/>
                <w:sz w:val="24"/>
              </w:rPr>
            </w:pPr>
            <w:r>
              <w:rPr>
                <w:b/>
                <w:color w:val="000000"/>
                <w:sz w:val="24"/>
              </w:rPr>
              <w:t>“</w:t>
            </w:r>
            <w:r>
              <w:rPr>
                <w:b/>
                <w:color w:val="000000"/>
                <w:sz w:val="24"/>
              </w:rPr>
              <w:t>Failure to Pay Event”</w:t>
            </w:r>
          </w:p>
        </w:tc>
        <w:tc>
          <w:tcPr>
            <w:tcW w:w="6379" w:type="dxa"/>
            <w:tcBorders/>
          </w:tcPr>
          <w:p>
            <w:pPr>
              <w:pStyle w:val="Normal"/>
              <w:keepLines/>
              <w:numPr>
                <w:ilvl w:val="0"/>
                <w:numId w:val="3"/>
              </w:numPr>
              <w:spacing w:before="120" w:after="60"/>
              <w:ind w:hanging="720" w:start="754" w:end="0"/>
              <w:jc w:val="both"/>
              <w:rPr>
                <w:color w:val="000000"/>
                <w:sz w:val="24"/>
              </w:rPr>
            </w:pPr>
            <w:r>
              <w:rPr>
                <w:color w:val="0000FF"/>
                <w:sz w:val="24"/>
              </w:rPr>
              <w:t>The exchange did not receive payment from the buyer in the amount exceeding at least $ 250,000.00 of the contracted amount after 10 business days of stipulated payment date in the contract. This must be verified by exchange records and by the issuance of an affidavit to this effect by the exchange.</w:t>
            </w:r>
          </w:p>
          <w:p>
            <w:pPr>
              <w:pStyle w:val="Normal"/>
              <w:keepLines/>
              <w:numPr>
                <w:ilvl w:val="0"/>
                <w:numId w:val="3"/>
              </w:numPr>
              <w:spacing w:before="120" w:after="60"/>
              <w:ind w:hanging="720" w:start="754" w:end="0"/>
              <w:jc w:val="both"/>
              <w:rPr>
                <w:color w:val="000000"/>
                <w:sz w:val="24"/>
              </w:rPr>
            </w:pPr>
            <w:r>
              <w:rPr>
                <w:color w:val="0000FF"/>
                <w:sz w:val="24"/>
              </w:rPr>
              <w:t>Bankruptcy event of the reference party (buyer in the exchange)</w:t>
            </w:r>
          </w:p>
          <w:p>
            <w:pPr>
              <w:pStyle w:val="Normal"/>
              <w:keepLines/>
              <w:numPr>
                <w:ilvl w:val="0"/>
                <w:numId w:val="3"/>
              </w:numPr>
              <w:spacing w:before="120" w:after="60"/>
              <w:ind w:hanging="720" w:start="754" w:end="0"/>
              <w:jc w:val="both"/>
              <w:rPr>
                <w:color w:val="000000"/>
                <w:sz w:val="24"/>
              </w:rPr>
            </w:pPr>
            <w:r>
              <w:rPr>
                <w:color w:val="0000FF"/>
                <w:sz w:val="24"/>
              </w:rPr>
              <w:t>Publicly announcement of failure to pay on any contract of amount of at least USD 1000,000.00 or its equivalent in any currency as defined by Credit Derivatives ISDA documents of 1999.</w:t>
            </w:r>
          </w:p>
          <w:p>
            <w:pPr>
              <w:pStyle w:val="Normal"/>
              <w:keepLines/>
              <w:spacing w:before="120" w:after="60"/>
              <w:ind w:start="34" w:end="0"/>
              <w:jc w:val="both"/>
              <w:rPr>
                <w:color w:val="000000"/>
                <w:sz w:val="24"/>
              </w:rPr>
            </w:pPr>
            <w:r>
              <w:rPr>
                <w:color w:val="000000"/>
                <w:sz w:val="24"/>
              </w:rPr>
            </w:r>
          </w:p>
        </w:tc>
      </w:tr>
      <w:tr>
        <w:trPr/>
        <w:tc>
          <w:tcPr>
            <w:tcW w:w="3402" w:type="dxa"/>
            <w:tcBorders/>
          </w:tcPr>
          <w:p>
            <w:pPr>
              <w:pStyle w:val="Normal"/>
              <w:spacing w:before="20" w:after="60"/>
              <w:rPr>
                <w:color w:val="000000"/>
                <w:sz w:val="24"/>
              </w:rPr>
            </w:pPr>
            <w:r>
              <w:rPr>
                <w:b/>
                <w:color w:val="000000"/>
                <w:sz w:val="24"/>
              </w:rPr>
              <w:t>“</w:t>
            </w:r>
            <w:r>
              <w:rPr>
                <w:b/>
                <w:color w:val="000000"/>
                <w:sz w:val="24"/>
              </w:rPr>
              <w:t>Failure to Pay Notice”</w:t>
            </w:r>
          </w:p>
        </w:tc>
        <w:tc>
          <w:tcPr>
            <w:tcW w:w="6379" w:type="dxa"/>
            <w:tcBorders/>
          </w:tcPr>
          <w:p>
            <w:pPr>
              <w:pStyle w:val="Normal"/>
              <w:spacing w:before="20" w:after="60"/>
              <w:ind w:start="34" w:end="0"/>
              <w:rPr>
                <w:color w:val="0000FF"/>
                <w:sz w:val="24"/>
              </w:rPr>
            </w:pPr>
            <w:r>
              <w:rPr>
                <w:color w:val="0000FF"/>
                <w:sz w:val="24"/>
              </w:rPr>
              <w:t>An irrevocable notice delivered by one party to the other that describes in reasonable detail a non payment event along with transaction date, contract payment date, and amount in question</w:t>
            </w:r>
          </w:p>
          <w:p>
            <w:pPr>
              <w:pStyle w:val="Normal"/>
              <w:spacing w:before="20" w:after="60"/>
              <w:ind w:start="34" w:end="0"/>
              <w:rPr>
                <w:color w:val="000000"/>
                <w:sz w:val="24"/>
              </w:rPr>
            </w:pPr>
            <w:r>
              <w:rPr>
                <w:color w:val="000000"/>
                <w:sz w:val="24"/>
              </w:rPr>
            </w:r>
          </w:p>
        </w:tc>
      </w:tr>
      <w:tr>
        <w:trPr/>
        <w:tc>
          <w:tcPr>
            <w:tcW w:w="3402" w:type="dxa"/>
            <w:tcBorders/>
          </w:tcPr>
          <w:p>
            <w:pPr>
              <w:pStyle w:val="Normal"/>
              <w:spacing w:before="20" w:after="60"/>
              <w:rPr>
                <w:color w:val="000000"/>
                <w:sz w:val="24"/>
              </w:rPr>
            </w:pPr>
            <w:r>
              <w:rPr>
                <w:b/>
                <w:color w:val="000000"/>
                <w:sz w:val="24"/>
              </w:rPr>
              <w:t>“</w:t>
            </w:r>
            <w:r>
              <w:rPr>
                <w:b/>
                <w:color w:val="000000"/>
                <w:sz w:val="24"/>
              </w:rPr>
              <w:t>Notice of Publicly Available Information”</w:t>
            </w:r>
          </w:p>
        </w:tc>
        <w:tc>
          <w:tcPr>
            <w:tcW w:w="6379" w:type="dxa"/>
            <w:tcBorders/>
          </w:tcPr>
          <w:p>
            <w:pPr>
              <w:pStyle w:val="Normal"/>
              <w:ind w:start="33" w:end="0"/>
              <w:jc w:val="both"/>
              <w:rPr/>
            </w:pPr>
            <w:r>
              <w:rPr>
                <w:sz w:val="24"/>
              </w:rPr>
              <w:t xml:space="preserve">An irrevocable notice delivered by one party to the other that confirms in reasonable detail the occurrence of </w:t>
            </w:r>
            <w:r>
              <w:rPr>
                <w:color w:val="0000FF"/>
                <w:sz w:val="24"/>
              </w:rPr>
              <w:t>a failure to pay on the reference as described above</w:t>
            </w:r>
            <w:r>
              <w:rPr>
                <w:sz w:val="24"/>
              </w:rPr>
              <w:t xml:space="preserve">. </w:t>
            </w:r>
          </w:p>
          <w:p>
            <w:pPr>
              <w:pStyle w:val="Normal"/>
              <w:spacing w:before="20" w:after="60"/>
              <w:rPr>
                <w:color w:val="000000"/>
                <w:sz w:val="24"/>
              </w:rPr>
            </w:pPr>
            <w:r>
              <w:rPr>
                <w:color w:val="000000"/>
                <w:sz w:val="24"/>
              </w:rPr>
            </w:r>
          </w:p>
        </w:tc>
      </w:tr>
      <w:tr>
        <w:trPr/>
        <w:tc>
          <w:tcPr>
            <w:tcW w:w="3402" w:type="dxa"/>
            <w:tcBorders/>
          </w:tcPr>
          <w:p>
            <w:pPr>
              <w:pStyle w:val="Normal"/>
              <w:spacing w:before="20" w:after="60"/>
              <w:rPr>
                <w:color w:val="000000"/>
                <w:sz w:val="24"/>
              </w:rPr>
            </w:pPr>
            <w:r>
              <w:rPr>
                <w:b/>
                <w:color w:val="000000"/>
                <w:sz w:val="24"/>
              </w:rPr>
              <w:t>“</w:t>
            </w:r>
            <w:r>
              <w:rPr>
                <w:b/>
                <w:color w:val="000000"/>
                <w:sz w:val="24"/>
              </w:rPr>
              <w:t>Publicly Available Information”</w:t>
            </w:r>
          </w:p>
        </w:tc>
        <w:tc>
          <w:tcPr>
            <w:tcW w:w="6379" w:type="dxa"/>
            <w:tcBorders/>
          </w:tcPr>
          <w:p>
            <w:pPr>
              <w:pStyle w:val="Normal"/>
              <w:ind w:start="33" w:end="0"/>
              <w:jc w:val="both"/>
              <w:rPr/>
            </w:pPr>
            <w:r>
              <w:rPr>
                <w:sz w:val="24"/>
              </w:rPr>
              <w:t xml:space="preserve">Information that reasonably confirms any of the assertions made in a </w:t>
            </w:r>
            <w:r>
              <w:rPr>
                <w:color w:val="0000FF"/>
                <w:sz w:val="24"/>
              </w:rPr>
              <w:t>non-payment/failure to pay</w:t>
            </w:r>
            <w:r>
              <w:rPr>
                <w:sz w:val="24"/>
              </w:rPr>
              <w:t xml:space="preserv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spacing w:before="20" w:after="60"/>
              <w:rPr>
                <w:color w:val="000000"/>
                <w:sz w:val="24"/>
              </w:rPr>
            </w:pPr>
            <w:r>
              <w:rPr>
                <w:color w:val="000000"/>
                <w:sz w:val="24"/>
              </w:rPr>
            </w:r>
          </w:p>
        </w:tc>
      </w:tr>
      <w:tr>
        <w:trPr/>
        <w:tc>
          <w:tcPr>
            <w:tcW w:w="3402" w:type="dxa"/>
            <w:tcBorders/>
          </w:tcPr>
          <w:p>
            <w:pPr>
              <w:pStyle w:val="Normal"/>
              <w:snapToGrid w:val="false"/>
              <w:spacing w:before="20" w:after="60"/>
              <w:rPr>
                <w:b/>
                <w:color w:val="000000"/>
                <w:sz w:val="24"/>
              </w:rPr>
            </w:pPr>
            <w:r>
              <w:rPr>
                <w:b/>
                <w:color w:val="000000"/>
                <w:sz w:val="24"/>
              </w:rPr>
            </w:r>
          </w:p>
        </w:tc>
        <w:tc>
          <w:tcPr>
            <w:tcW w:w="6379" w:type="dxa"/>
            <w:tcBorders/>
          </w:tcPr>
          <w:p>
            <w:pPr>
              <w:pStyle w:val="Normal"/>
              <w:snapToGrid w:val="false"/>
              <w:ind w:start="33" w:end="0"/>
              <w:jc w:val="both"/>
              <w:rPr>
                <w:b/>
                <w:color w:val="000000"/>
                <w:sz w:val="24"/>
              </w:rPr>
            </w:pPr>
            <w:r>
              <w:rPr>
                <w:b/>
                <w:color w:val="000000"/>
                <w:sz w:val="24"/>
              </w:rPr>
            </w:r>
          </w:p>
        </w:tc>
      </w:tr>
      <w:tr>
        <w:trPr/>
        <w:tc>
          <w:tcPr>
            <w:tcW w:w="3402" w:type="dxa"/>
            <w:tcBorders/>
          </w:tcPr>
          <w:p>
            <w:pPr>
              <w:pStyle w:val="Normal"/>
              <w:spacing w:before="20" w:after="60"/>
              <w:rPr>
                <w:b/>
                <w:color w:val="000000"/>
                <w:sz w:val="24"/>
              </w:rPr>
            </w:pPr>
            <w:r>
              <w:rPr>
                <w:b/>
                <w:color w:val="000000"/>
                <w:sz w:val="24"/>
              </w:rPr>
              <w:t>6. Credit Terms</w:t>
            </w:r>
          </w:p>
        </w:tc>
        <w:tc>
          <w:tcPr>
            <w:tcW w:w="6379" w:type="dxa"/>
            <w:tcBorders/>
          </w:tcPr>
          <w:p>
            <w:pPr>
              <w:pStyle w:val="Normal"/>
              <w:ind w:start="33" w:end="0"/>
              <w:jc w:val="both"/>
              <w:rPr>
                <w:sz w:val="24"/>
              </w:rPr>
            </w:pPr>
            <w:r>
              <w:rPr>
                <w:sz w:val="24"/>
              </w:rPr>
              <w:t>To be reviewed on a transaction and counterparty specific basis.</w:t>
            </w:r>
          </w:p>
          <w:p>
            <w:pPr>
              <w:pStyle w:val="Normal"/>
              <w:ind w:start="33" w:end="0"/>
              <w:jc w:val="both"/>
              <w:rPr/>
            </w:pPr>
            <w:r>
              <w:rPr>
                <w:sz w:val="24"/>
              </w:rPr>
              <w:t>[Enron shall have the right to require counterparty to provide a letter of credit or guarantee acceptable to Enron]</w:t>
            </w:r>
            <w:r>
              <w:rPr>
                <w:rStyle w:val="FootnoteCharacters"/>
                <w:rStyle w:val="FootnoteReference"/>
                <w:sz w:val="24"/>
              </w:rPr>
              <w:footnoteReference w:id="2"/>
            </w:r>
            <w:r>
              <w:rPr>
                <w:sz w:val="24"/>
              </w:rPr>
              <w:t>.</w:t>
            </w:r>
          </w:p>
          <w:p>
            <w:pPr>
              <w:pStyle w:val="Normal"/>
              <w:jc w:val="both"/>
              <w:rPr>
                <w:sz w:val="24"/>
              </w:rPr>
            </w:pPr>
            <w:r>
              <w:rPr>
                <w:sz w:val="24"/>
              </w:rPr>
            </w:r>
          </w:p>
        </w:tc>
      </w:tr>
      <w:tr>
        <w:trPr/>
        <w:tc>
          <w:tcPr>
            <w:tcW w:w="3402" w:type="dxa"/>
            <w:tcBorders/>
          </w:tcPr>
          <w:p>
            <w:pPr>
              <w:pStyle w:val="Normal"/>
              <w:snapToGrid w:val="false"/>
              <w:spacing w:before="20" w:after="60"/>
              <w:rPr>
                <w:b/>
                <w:color w:val="000000"/>
                <w:sz w:val="24"/>
              </w:rPr>
            </w:pPr>
            <w:r>
              <w:rPr>
                <w:b/>
                <w:color w:val="000000"/>
                <w:sz w:val="24"/>
              </w:rPr>
            </w:r>
          </w:p>
        </w:tc>
        <w:tc>
          <w:tcPr>
            <w:tcW w:w="6379" w:type="dxa"/>
            <w:tcBorders/>
          </w:tcPr>
          <w:p>
            <w:pPr>
              <w:pStyle w:val="Normal"/>
              <w:snapToGrid w:val="false"/>
              <w:ind w:start="33" w:end="0"/>
              <w:jc w:val="both"/>
              <w:rPr>
                <w:b/>
                <w:color w:val="000000"/>
                <w:sz w:val="24"/>
              </w:rPr>
            </w:pPr>
            <w:r>
              <w:rPr>
                <w:b/>
                <w:color w:val="000000"/>
                <w:sz w:val="24"/>
              </w:rPr>
            </w:r>
          </w:p>
        </w:tc>
      </w:tr>
    </w:tbl>
    <w:p>
      <w:pPr>
        <w:pStyle w:val="Normal"/>
        <w:jc w:val="both"/>
        <w:rPr>
          <w:b/>
          <w:sz w:val="24"/>
        </w:rPr>
      </w:pPr>
      <w:r>
        <w:rPr>
          <w:b/>
          <w:sz w:val="24"/>
        </w:rPr>
      </w:r>
    </w:p>
    <w:p>
      <w:pPr>
        <w:pStyle w:val="Normal"/>
        <w:jc w:val="both"/>
        <w:rPr>
          <w:b/>
          <w:sz w:val="24"/>
        </w:rPr>
      </w:pPr>
      <w:r>
        <w:rPr>
          <w:b/>
          <w:sz w:val="24"/>
        </w:rPr>
        <w:t>Important Notes:</w:t>
        <w:tab/>
      </w:r>
    </w:p>
    <w:p>
      <w:pPr>
        <w:pStyle w:val="Normal"/>
        <w:jc w:val="both"/>
        <w:rPr>
          <w:b/>
          <w:sz w:val="24"/>
        </w:rPr>
      </w:pPr>
      <w:r>
        <w:rPr>
          <w:b/>
          <w:sz w:val="24"/>
        </w:rPr>
      </w:r>
    </w:p>
    <w:p>
      <w:pPr>
        <w:pStyle w:val="Normal"/>
        <w:ind w:hanging="720" w:start="720" w:end="0"/>
        <w:jc w:val="both"/>
        <w:rPr>
          <w:sz w:val="24"/>
        </w:rPr>
      </w:pPr>
      <w:r>
        <w:rPr>
          <w:sz w:val="24"/>
        </w:rPr>
        <w:t>1.</w:t>
        <w:tab/>
        <w:t>The above is a summary of the indicative terms and conditions of a proposed transaction and is subject to change.  It has been prepared by Enron for information purposes only.  It is not intended to create, and does not create, a binding or enforceable contract or to be complete or include all of the terms of the proposed transaction.  This is not an offer or a commitment by Enron or any parent or affiliate of Enron.  The transaction contemplated herein is subject to further review and approval by Enron and the execution of a definitive agreement containing all appropriate provisions including those relating to credit, tax and limitation of damages and remedies.</w:t>
      </w:r>
    </w:p>
    <w:p>
      <w:pPr>
        <w:pStyle w:val="Normal"/>
        <w:jc w:val="both"/>
        <w:rPr>
          <w:sz w:val="24"/>
        </w:rPr>
      </w:pPr>
      <w:r>
        <w:rPr>
          <w:sz w:val="24"/>
        </w:rPr>
      </w:r>
    </w:p>
    <w:p>
      <w:pPr>
        <w:pStyle w:val="Normal"/>
        <w:numPr>
          <w:ilvl w:val="0"/>
          <w:numId w:val="2"/>
        </w:numPr>
        <w:jc w:val="both"/>
        <w:rPr>
          <w:sz w:val="24"/>
        </w:rPr>
      </w:pPr>
      <w:r>
        <w:rPr>
          <w:sz w:val="24"/>
        </w:rPr>
        <w:t>We have sent you this document in your capacity as a potential counterparty acting at arm’s length.  We are not acting as your adviser, nor in a fiduciary capacity, in respect of the proposed transaction.  Further, no representation or warranty is made by us concerning the legal, regulatory or tax implications in any applicable jurisdiction of the proposed transaction.  We are not making any recommendation regarding the proposed transaction.  Before entering into a transaction you should ensure that you understand the transaction and have made an independent assessment of the appropriateness of the transaction in light of your own objectives and circumstances, including the possible risks and benefits of entering into such a transaction.</w:t>
      </w:r>
    </w:p>
    <w:p>
      <w:pPr>
        <w:pStyle w:val="Normal"/>
        <w:jc w:val="both"/>
        <w:rPr>
          <w:sz w:val="24"/>
        </w:rPr>
      </w:pPr>
      <w:r>
        <w:rPr>
          <w:sz w:val="24"/>
        </w:rPr>
      </w:r>
    </w:p>
    <w:p>
      <w:pPr>
        <w:pStyle w:val="Normal"/>
        <w:ind w:hanging="720" w:start="720" w:end="0"/>
        <w:jc w:val="both"/>
        <w:rPr>
          <w:sz w:val="24"/>
        </w:rPr>
      </w:pPr>
      <w:r>
        <w:rPr>
          <w:sz w:val="24"/>
        </w:rPr>
        <w:t>3.</w:t>
        <w:tab/>
        <w:t xml:space="preserve">This document is confidential and shall not be disclosed to any third party without Enron’s prior written consent. </w:t>
      </w:r>
    </w:p>
    <w:sectPr>
      <w:headerReference w:type="default" r:id="rId2"/>
      <w:footerReference w:type="default" r:id="rId3"/>
      <w:footnotePr>
        <w:numFmt w:val="decimal"/>
      </w:footnotePr>
      <w:type w:val="nextPage"/>
      <w:pgSz w:w="12240" w:h="15840"/>
      <w:pgMar w:left="1276" w:right="1325" w:gutter="0" w:header="357" w:top="957" w:footer="39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r>
      <w:rPr>
        <w:rStyle w:val="PageNumber"/>
      </w:rPr>
      <w:t>of 4</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Include for “collateral version”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30" w:leader="none"/>
        <w:tab w:val="right" w:pos="10710" w:leader="none"/>
      </w:tabs>
      <w:rPr>
        <w:b/>
        <w:sz w:val="24"/>
      </w:rPr>
    </w:pPr>
    <w:r>
      <w:rPr>
        <w:b/>
        <w:sz w:val="24"/>
      </w:rPr>
      <w:tab/>
      <w:t>Confidential &amp; Subject to Contract. Not to be executed for any purpose.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lvl>
  </w:abstractNum>
  <w:abstractNum w:abstractNumId="3">
    <w:lvl w:ilvl="0">
      <w:start w:val="1"/>
      <w:numFmt w:val="lowerRoman"/>
      <w:lvlText w:val="(%1)"/>
      <w:lvlJc w:val="start"/>
      <w:pPr>
        <w:tabs>
          <w:tab w:val="num" w:pos="753"/>
        </w:tabs>
        <w:ind w:start="787" w:hanging="753"/>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spacing w:before="20" w:after="60"/>
      <w:outlineLvl w:val="2"/>
    </w:pPr>
    <w:rPr>
      <w:sz w:val="24"/>
    </w:rPr>
  </w:style>
  <w:style w:type="paragraph" w:styleId="Heading4">
    <w:name w:val="heading 4"/>
    <w:basedOn w:val="Normal"/>
    <w:next w:val="Normal"/>
    <w:qFormat/>
    <w:pPr>
      <w:keepNext w:val="true"/>
      <w:numPr>
        <w:ilvl w:val="3"/>
        <w:numId w:val="1"/>
      </w:numPr>
      <w:spacing w:before="20" w:after="60"/>
      <w:outlineLvl w:val="3"/>
    </w:pPr>
    <w:rPr>
      <w:color w:val="000080"/>
      <w:sz w:val="24"/>
    </w:rPr>
  </w:style>
  <w:style w:type="paragraph" w:styleId="Heading5">
    <w:name w:val="heading 5"/>
    <w:basedOn w:val="Normal"/>
    <w:next w:val="Normal"/>
    <w:qFormat/>
    <w:pPr>
      <w:keepNext w:val="true"/>
      <w:numPr>
        <w:ilvl w:val="4"/>
        <w:numId w:val="1"/>
      </w:numPr>
      <w:spacing w:before="20" w:after="60"/>
      <w:jc w:val="center"/>
      <w:outlineLvl w:val="4"/>
    </w:pPr>
    <w:rPr>
      <w:b/>
      <w:sz w:val="24"/>
    </w:rPr>
  </w:style>
  <w:style w:type="paragraph" w:styleId="Heading6">
    <w:name w:val="heading 6"/>
    <w:basedOn w:val="Normal"/>
    <w:next w:val="Normal"/>
    <w:qFormat/>
    <w:pPr>
      <w:keepNext w:val="true"/>
      <w:numPr>
        <w:ilvl w:val="5"/>
        <w:numId w:val="1"/>
      </w:numPr>
      <w:spacing w:before="20" w:after="60"/>
      <w:jc w:val="center"/>
      <w:outlineLvl w:val="5"/>
    </w:pPr>
    <w:rPr>
      <w:sz w:val="36"/>
    </w:rPr>
  </w:style>
  <w:style w:type="paragraph" w:styleId="Heading7">
    <w:name w:val="heading 7"/>
    <w:basedOn w:val="Normal"/>
    <w:next w:val="Normal"/>
    <w:qFormat/>
    <w:pPr>
      <w:keepNext w:val="true"/>
      <w:numPr>
        <w:ilvl w:val="6"/>
        <w:numId w:val="1"/>
      </w:numPr>
      <w:spacing w:before="0" w:after="60"/>
      <w:ind w:firstLine="720" w:start="2880" w:end="0"/>
      <w:outlineLvl w:val="6"/>
    </w:pPr>
    <w:rPr>
      <w:b/>
      <w:color w:val="000000"/>
      <w:sz w:val="32"/>
    </w:rPr>
  </w:style>
  <w:style w:type="paragraph" w:styleId="Heading8">
    <w:name w:val="heading 8"/>
    <w:basedOn w:val="Normal"/>
    <w:next w:val="Normal"/>
    <w:qFormat/>
    <w:pPr>
      <w:keepNext w:val="true"/>
      <w:numPr>
        <w:ilvl w:val="7"/>
        <w:numId w:val="1"/>
      </w:numPr>
      <w:spacing w:before="0" w:after="60"/>
      <w:ind w:hanging="2880" w:start="2880" w:end="0"/>
      <w:jc w:val="both"/>
      <w:outlineLvl w:val="7"/>
    </w:pPr>
    <w:rPr>
      <w:color w:val="000000"/>
      <w:sz w:val="32"/>
    </w:rPr>
  </w:style>
  <w:style w:type="paragraph" w:styleId="Heading9">
    <w:name w:val="heading 9"/>
    <w:basedOn w:val="Normal"/>
    <w:next w:val="Normal"/>
    <w:qFormat/>
    <w:pPr>
      <w:keepNext w:val="true"/>
      <w:numPr>
        <w:ilvl w:val="8"/>
        <w:numId w:val="1"/>
      </w:numPr>
      <w:jc w:val="center"/>
      <w:outlineLvl w:val="8"/>
    </w:pPr>
    <w:rPr>
      <w:sz w:val="28"/>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2880" w:leader="none"/>
      </w:tabs>
      <w:spacing w:before="20" w:after="60"/>
    </w:pPr>
    <w:rPr>
      <w:b/>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687" w:start="720" w:end="0"/>
      <w:jc w:val="both"/>
    </w:pPr>
    <w:rPr>
      <w:sz w:val="24"/>
    </w:rPr>
  </w:style>
  <w:style w:type="paragraph" w:styleId="BodyTextIndent2">
    <w:name w:val="Body Text Indent 2"/>
    <w:basedOn w:val="Normal"/>
    <w:qFormat/>
    <w:pPr>
      <w:tabs>
        <w:tab w:val="clear" w:pos="720"/>
        <w:tab w:val="left" w:pos="-18" w:leader="none"/>
      </w:tabs>
      <w:ind w:hanging="18" w:start="0" w:end="0"/>
      <w:jc w:val="both"/>
    </w:pPr>
    <w:rPr>
      <w:rFonts w:ascii="CG Times;Times New Roman" w:hAnsi="CG Times;Times New Roman" w:cs="CG Times;Times New Roman"/>
      <w:sz w:val="24"/>
    </w:rPr>
  </w:style>
  <w:style w:type="paragraph" w:styleId="BodyTextIndent3">
    <w:name w:val="Body Text Indent 3"/>
    <w:basedOn w:val="Normal"/>
    <w:qFormat/>
    <w:pPr>
      <w:tabs>
        <w:tab w:val="left" w:pos="-18" w:leader="none"/>
        <w:tab w:val="left" w:pos="720" w:leader="none"/>
        <w:tab w:val="left" w:pos="1440" w:leader="none"/>
      </w:tabs>
      <w:ind w:firstLine="18" w:start="-18" w:end="0"/>
      <w:jc w:val="both"/>
    </w:pPr>
    <w:rPr>
      <w:rFonts w:ascii="CG Times;Times New Roman" w:hAnsi="CG Times;Times New Roman" w:cs="CG Times;Times New Roman"/>
      <w:sz w:val="24"/>
    </w:rPr>
  </w:style>
  <w:style w:type="paragraph" w:styleId="BodyText3">
    <w:name w:val="Body Text 3"/>
    <w:basedOn w:val="Normal"/>
    <w:qFormat/>
    <w:pPr>
      <w:tabs>
        <w:tab w:val="left" w:pos="0" w:leader="none"/>
        <w:tab w:val="left" w:pos="720" w:leader="none"/>
        <w:tab w:val="left" w:pos="1440" w:leader="none"/>
      </w:tabs>
      <w:jc w:val="both"/>
    </w:pPr>
    <w:rPr>
      <w:rFonts w:ascii="CG Times;Times New Roman" w:hAnsi="CG Times;Times New Roman" w:cs="CG Times;Times New Roman"/>
      <w:sz w:val="24"/>
    </w:rPr>
  </w:style>
  <w:style w:type="paragraph" w:styleId="FootnoteText">
    <w:name w:val="footnote text"/>
    <w:basedOn w:val="Normal"/>
    <w:pPr/>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keepLines/>
      <w:spacing w:before="120" w:after="60"/>
      <w:ind w:hanging="0" w:start="34" w:end="0"/>
      <w:jc w:val="both"/>
    </w:pPr>
    <w:rPr>
      <w:color w:val="0000FF"/>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2000-05-03T16:21:00Z</dcterms:created>
  <dc:creator>smurdock</dc:creator>
  <dc:description/>
  <dc:language>en-CA</dc:language>
  <cp:lastModifiedBy>mkhoja</cp:lastModifiedBy>
  <cp:lastPrinted>2000-03-01T10:59:00Z</cp:lastPrinted>
  <dcterms:modified xsi:type="dcterms:W3CDTF">2000-05-18T14:46:00Z</dcterms:modified>
  <cp:revision>6</cp:revision>
  <dc:subject/>
  <dc:title>Credit Default Swaps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lient">
    <vt:lpwstr> </vt:lpwstr>
  </property>
  <property fmtid="{D5CDD505-2E9C-101B-9397-08002B2CF9AE}" pid="6" name="udp_DocID">
    <vt:lpwstr>CA003670470</vt:lpwstr>
  </property>
  <property fmtid="{D5CDD505-2E9C-101B-9397-08002B2CF9AE}" pid="7" name="udp_Justified">
    <vt:bool>0</vt:bool>
  </property>
  <property fmtid="{D5CDD505-2E9C-101B-9397-08002B2CF9AE}" pid="8" name="udp_Layout">
    <vt:lpwstr>None</vt:lpwstr>
  </property>
  <property fmtid="{D5CDD505-2E9C-101B-9397-08002B2CF9AE}" pid="9" name="udp_Matter">
    <vt:lpwstr> </vt:lpwstr>
  </property>
  <property fmtid="{D5CDD505-2E9C-101B-9397-08002B2CF9AE}" pid="10" name="udp_Typist">
    <vt:lpwstr>Ruggeri, Roberto</vt:lpwstr>
  </property>
  <property fmtid="{D5CDD505-2E9C-101B-9397-08002B2CF9AE}" pid="11" name="udp_Version">
    <vt:lpwstr>11</vt:lpwstr>
  </property>
</Properties>
</file>