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embeddings/oleObject1.bin" ContentType="application/vnd.openxmlformats-officedocument.oleObject"/>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Fact Sheet:</w:t>
      </w:r>
    </w:p>
    <w:p>
      <w:pPr>
        <w:pStyle w:val="Normal"/>
        <w:jc w:val="center"/>
        <w:rPr>
          <w:b/>
          <w:bCs/>
        </w:rPr>
      </w:pPr>
      <w:r>
        <w:rPr>
          <w:b/>
          <w:bCs/>
        </w:rPr>
        <w:t xml:space="preserve">CAISO’s Reduction of ATC at the California-Oregon Interface (COI) </w:t>
      </w:r>
    </w:p>
    <w:p>
      <w:pPr>
        <w:pStyle w:val="Normal"/>
        <w:jc w:val="center"/>
        <w:rPr>
          <w:b/>
          <w:bCs/>
        </w:rPr>
      </w:pPr>
      <w:r>
        <w:rPr>
          <w:b/>
          <w:bCs/>
        </w:rPr>
        <w:t>South to North (S-N)</w:t>
      </w:r>
    </w:p>
    <w:p>
      <w:pPr>
        <w:pStyle w:val="Normal"/>
        <w:jc w:val="center"/>
        <w:rPr>
          <w:b/>
          <w:bCs/>
        </w:rPr>
      </w:pPr>
      <w:r>
        <w:rPr>
          <w:b/>
          <w:bCs/>
        </w:rPr>
      </w:r>
    </w:p>
    <w:p>
      <w:pPr>
        <w:pStyle w:val="Normal"/>
        <w:rPr>
          <w:b/>
          <w:bCs/>
        </w:rPr>
      </w:pPr>
      <w:r>
        <w:rPr>
          <w:b/>
          <w:bCs/>
        </w:rPr>
        <w:t>The Facts</w:t>
      </w:r>
      <w:r>
        <w:rPr>
          <w:rStyle w:val="FootnoteCharacters"/>
          <w:rStyle w:val="FootnoteReference"/>
          <w:b/>
          <w:bCs/>
        </w:rPr>
        <w:footnoteReference w:id="2"/>
      </w:r>
    </w:p>
    <w:p>
      <w:pPr>
        <w:pStyle w:val="Normal"/>
        <w:numPr>
          <w:ilvl w:val="0"/>
          <w:numId w:val="3"/>
        </w:numPr>
        <w:rPr/>
      </w:pPr>
      <w:r>
        <w:rPr/>
        <w:t>The California ISO dramatically reduced the amount of capacity available at the California-Oregon Interface (COI) beginning on  or about January 1, 2001 (Exhibit 1). COI sits between NP 15 and NW1 (Exhibit 2).</w:t>
      </w:r>
    </w:p>
    <w:p>
      <w:pPr>
        <w:pStyle w:val="Normal"/>
        <w:numPr>
          <w:ilvl w:val="0"/>
          <w:numId w:val="3"/>
        </w:numPr>
        <w:rPr/>
      </w:pPr>
      <w:r>
        <w:rPr/>
        <w:t>The reduction affects only the available transmission capacity (ATC) for new firm use—i.e., capacity available for day-ahead trades and FTRs and does not affect capacity allocated to existing transmission contracts (ETCs).  (ETCs are predominantly grandfathered contracts held by muni’s.)</w:t>
      </w:r>
    </w:p>
    <w:p>
      <w:pPr>
        <w:pStyle w:val="Normal"/>
        <w:numPr>
          <w:ilvl w:val="0"/>
          <w:numId w:val="3"/>
        </w:numPr>
        <w:rPr/>
      </w:pPr>
      <w:r>
        <w:rPr/>
        <w:t>CAISO explains that the reduction in ATC is due to a deduction of a capacity benefit margin (CBM).  The CBM is being imputed and added to ETC, which in turn reduces ATC.</w:t>
      </w:r>
    </w:p>
    <w:p>
      <w:pPr>
        <w:pStyle w:val="Normal"/>
        <w:numPr>
          <w:ilvl w:val="0"/>
          <w:numId w:val="3"/>
        </w:numPr>
        <w:rPr/>
      </w:pPr>
      <w:r>
        <w:rPr/>
        <w:t>CBM is being applied to address reliability concerns faced by CAISO.  CAISO faced during 2001 a deficit of resources in NP 15 and below-average hydro conditions (especially in the PNW).  Because load-serving entities (LSE’s) that serve Northern California load underscheduled day-ahead markets in NP 15, insufficient generation was available to meet NP15 load in real time (R/T).  Capacity that should be reserved for NP 15 load on Path 15 is instead being reserved by parties scheduling power to the Pacific Northwest.  As a result, Path 15 has insufficient capacity to meet NP 15 loads in R/T.  In the CAISO’s words, there were not enough “inc’s” in NP15 to cover R/T requirements.</w:t>
      </w:r>
    </w:p>
    <w:p>
      <w:pPr>
        <w:pStyle w:val="Normal"/>
        <w:numPr>
          <w:ilvl w:val="0"/>
          <w:numId w:val="3"/>
        </w:numPr>
        <w:rPr/>
      </w:pPr>
      <w:r>
        <w:rPr/>
        <w:t xml:space="preserve">According to CAISO, it made an initial attempt to apply a CBM on Path 15 but it found it to be ineffective.  Because the ultimate destination of power scheduled on Path 15 is usually the PNW, CAISO applied the CBM at COI S-N and found that to be effective. </w:t>
      </w:r>
    </w:p>
    <w:p>
      <w:pPr>
        <w:pStyle w:val="Normal"/>
        <w:numPr>
          <w:ilvl w:val="0"/>
          <w:numId w:val="3"/>
        </w:numPr>
        <w:rPr/>
      </w:pPr>
      <w:r>
        <w:rPr/>
        <w:t>CAISO claims that it will continue to apply CBM in the future.  It does expect to “fine tune” its procedure to try to minimize the CBM adjustment.  CAISO says they will be separately showing CBM, rather than embedding it in ETC, but has not given a date by which that it will do this.  Finally, the increase in the amount of available generation capacity in the last year in NP15 should reduce CBM going forward.</w:t>
      </w:r>
    </w:p>
    <w:p>
      <w:pPr>
        <w:pStyle w:val="Normal"/>
        <w:ind w:start="360" w:end="0"/>
        <w:rPr/>
      </w:pPr>
      <w:r>
        <w:rPr/>
      </w:r>
    </w:p>
    <w:p>
      <w:pPr>
        <w:pStyle w:val="Heading1"/>
        <w:rPr/>
      </w:pPr>
      <w:r>
        <w:rPr/>
        <w:t>EPMI’s Response</w:t>
      </w:r>
    </w:p>
    <w:p>
      <w:pPr>
        <w:pStyle w:val="Normal"/>
        <w:numPr>
          <w:ilvl w:val="0"/>
          <w:numId w:val="2"/>
        </w:numPr>
        <w:rPr/>
      </w:pPr>
      <w:r>
        <w:rPr/>
        <w:t>Inconsistent with Order 888 and Good Utility Practice, CASIO is adjusting transmission capacity to benefit certain load-serving entities (LSE’s) to the detriment of others.   The market problem that CAISO faces is that load-serving entities (LSE’s) in California are not procuring enough power in NP 15 on a day-ahead basis.  The LSE’s that serve NP15 load are predominately DWR/CERS and PG&amp;E.  If these parties collectively procured enough power on a day-ahead basis from the PNW or from SP15, load would be reliably met and CAISO would not required a CBM adjustment to effectively reserve Path 15 capacity for R/T use.  Rather than make these LSE’s face the consequences of insufficient resource procurement, CAISO is enabling their irresponsible buying practices by (1) reserving Path 15 capacity via a CBM reduction at COI and (2) buying large amounts of resources in R/T on behalf of NP 15 LSE’s.  CAISO should cut NP 15 load before cutting a firm exports.  De-rating COI S-N via a CBM essentially cuts the schedules of PNW parties in advance.  Northern California load benefits at the expense of PNW load.</w:t>
      </w:r>
    </w:p>
    <w:p>
      <w:pPr>
        <w:pStyle w:val="Normal"/>
        <w:numPr>
          <w:ilvl w:val="0"/>
          <w:numId w:val="2"/>
        </w:numPr>
        <w:rPr/>
      </w:pPr>
      <w:r>
        <w:rPr/>
        <w:t xml:space="preserve">In addition to inappropriately manipulating ATC to benefit certain California load, it is using the wrong tool—CBM--to do this.  The purpose of CBM, per NERC ATC standards, is to allow a party to recognize the use of interconnections to reduce the amount of reserve a system must carry internally.  Applied to California, the CAISO could claim a reduction in ATC for imports, i.e., North to South on COI and East-West on the southern times from Nevada and Arizona.  A claim to reduce ATC in the exporting direction would require turning this definition on its head.   </w:t>
      </w:r>
    </w:p>
    <w:p>
      <w:pPr>
        <w:pStyle w:val="Normal"/>
        <w:numPr>
          <w:ilvl w:val="0"/>
          <w:numId w:val="2"/>
        </w:numPr>
        <w:rPr/>
      </w:pPr>
      <w:r>
        <w:rPr/>
        <w:t>CAISO is using CBM (rather than, say, reduce TTC or OTC) because it reduces capacity available to new firm users and does not affect ETCs.  CAISO is intentionally excluding reducing ETC, because it knows that the reaction from holders of ETC would be loud and litigious.</w:t>
      </w:r>
    </w:p>
    <w:p>
      <w:pPr>
        <w:pStyle w:val="Normal"/>
        <w:numPr>
          <w:ilvl w:val="0"/>
          <w:numId w:val="2"/>
        </w:numPr>
        <w:rPr/>
      </w:pPr>
      <w:r>
        <w:rPr/>
        <w:t>Per WSCC rules, CAISO is supposed to show CBM on any given day and show precisely how it was computed.  CAISO has failed on both counts and does not even explicitly show CBM values.  Instead, it embeds the CBM in ETC (although it has stated that it will make it explicit in the future).</w:t>
      </w:r>
    </w:p>
    <w:p>
      <w:pPr>
        <w:pStyle w:val="Normal"/>
        <w:ind w:start="360" w:end="0"/>
        <w:rPr/>
      </w:pPr>
      <w:r>
        <w:rPr/>
      </w:r>
    </w:p>
    <w:p>
      <w:pPr>
        <w:pStyle w:val="Normal"/>
        <w:rPr>
          <w:b/>
          <w:bCs/>
        </w:rPr>
      </w:pPr>
      <w:r>
        <w:drawing>
          <wp:anchor behindDoc="0" distT="0" distB="0" distL="114935" distR="114935" simplePos="0" locked="0" layoutInCell="1" allowOverlap="1" relativeHeight="6">
            <wp:simplePos x="0" y="0"/>
            <wp:positionH relativeFrom="column">
              <wp:posOffset>-342900</wp:posOffset>
            </wp:positionH>
            <wp:positionV relativeFrom="paragraph">
              <wp:posOffset>158115</wp:posOffset>
            </wp:positionV>
            <wp:extent cx="6096000" cy="3696335"/>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7" r="-4" b="-7"/>
                    <a:stretch>
                      <a:fillRect/>
                    </a:stretch>
                  </pic:blipFill>
                  <pic:spPr bwMode="auto">
                    <a:xfrm>
                      <a:off x="0" y="0"/>
                      <a:ext cx="6096000" cy="3696335"/>
                    </a:xfrm>
                    <a:prstGeom prst="rect">
                      <a:avLst/>
                    </a:prstGeom>
                    <a:noFill/>
                  </pic:spPr>
                </pic:pic>
              </a:graphicData>
            </a:graphic>
          </wp:anchor>
        </w:drawing>
      </w:r>
      <w:r>
        <w:rPr>
          <w:b/>
          <w:bCs/>
        </w:rPr>
        <w:t>Exhibit 1.</w:t>
      </w:r>
    </w:p>
    <w:p>
      <w:pPr>
        <w:pStyle w:val="Normal"/>
        <w:ind w:start="360" w:end="0"/>
        <w:rPr>
          <w:b/>
          <w:bCs/>
        </w:rPr>
      </w:pPr>
      <w:r>
        <w:rPr>
          <w:b/>
          <w:bCs/>
        </w:rPr>
      </w:r>
      <w:r>
        <w:br w:type="page"/>
      </w:r>
    </w:p>
    <w:p>
      <w:pPr>
        <w:pStyle w:val="Normal"/>
        <w:keepNext w:val="true"/>
        <w:ind w:start="360" w:end="0"/>
        <w:rPr/>
      </w:pPr>
      <w:r>
        <w:rPr/>
        <w:object w:dxaOrig="16545" w:dyaOrig="1156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431.8pt;height:301.8pt" filled="f" o:ole="">
            <v:imagedata r:id="rId4" o:title=""/>
          </v:shape>
          <o:OLEObject Type="Embed" ProgID="" ShapeID="ole_rId3" DrawAspect="Content" ObjectID="_1979831558" r:id="rId3"/>
        </w:object>
      </w:r>
    </w:p>
    <w:p>
      <w:pPr>
        <w:pStyle w:val="Caption"/>
        <w:spacing w:before="120" w:after="120"/>
        <w:rPr/>
      </w:pPr>
      <w:r>
        <w:rPr/>
        <w:t>Exhibit 2.  Paths in the CAISO System</w:t>
      </w:r>
    </w:p>
    <w:sectPr>
      <w:footerReference w:type="default" r:id="rId5"/>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Based on CAISO’s OASIS Site and information provided by CAISO on a conference call between EPMI and CAISO staff on November 6, 2001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2001-11-07T16:21:00Z</dcterms:created>
  <dc:creator>acomnes</dc:creator>
  <dc:description/>
  <dc:language>en-CA</dc:language>
  <cp:lastModifiedBy>acomnes</cp:lastModifiedBy>
  <dcterms:modified xsi:type="dcterms:W3CDTF">2001-11-07T19:26:00Z</dcterms:modified>
  <cp:revision>7</cp:revision>
  <dc:subject/>
  <dc:title>Fact Sheet</dc:title>
</cp:coreProperties>
</file>