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Heading1"/>
        <w:ind w:hanging="0" w:start="0"/>
        <w:rPr>
          <w:sz w:val="32"/>
          <w:szCs w:val="32"/>
          <w:u w:val="single"/>
        </w:rPr>
      </w:pPr>
      <w:r>
        <w:rPr>
          <w:sz w:val="32"/>
          <w:szCs w:val="32"/>
          <w:u w:val="single"/>
        </w:rPr>
        <w:t>DRAFT</w:t>
      </w:r>
    </w:p>
    <w:p>
      <w:pPr>
        <w:pStyle w:val="Heading1"/>
        <w:ind w:hanging="0" w:start="0"/>
        <w:rPr>
          <w:sz w:val="32"/>
          <w:szCs w:val="32"/>
          <w:u w:val="single"/>
        </w:rPr>
      </w:pPr>
      <w:r>
        <w:rPr>
          <w:sz w:val="32"/>
          <w:szCs w:val="32"/>
          <w:u w:val="single"/>
        </w:rPr>
      </w:r>
    </w:p>
    <w:p>
      <w:pPr>
        <w:pStyle w:val="Heading1"/>
        <w:ind w:hanging="0" w:start="0"/>
        <w:rPr>
          <w:sz w:val="32"/>
          <w:szCs w:val="32"/>
          <w:u w:val="single"/>
        </w:rPr>
      </w:pPr>
      <w:r>
        <w:rPr>
          <w:sz w:val="32"/>
          <w:szCs w:val="32"/>
          <w:u w:val="single"/>
        </w:rPr>
      </w:r>
    </w:p>
    <w:p>
      <w:pPr>
        <w:pStyle w:val="Heading1"/>
        <w:ind w:hanging="0" w:start="0"/>
        <w:rPr>
          <w:b/>
          <w:bCs/>
          <w:sz w:val="28"/>
          <w:szCs w:val="28"/>
        </w:rPr>
      </w:pPr>
      <w:r>
        <w:rPr>
          <w:b/>
          <w:bCs/>
          <w:sz w:val="28"/>
          <w:szCs w:val="28"/>
        </w:rPr>
        <w:t>“</w:t>
      </w:r>
      <w:r>
        <w:rPr>
          <w:b/>
          <w:bCs/>
          <w:sz w:val="28"/>
          <w:szCs w:val="28"/>
        </w:rPr>
        <w:t>FYI from GPG”</w:t>
      </w:r>
    </w:p>
    <w:p>
      <w:pPr>
        <w:pStyle w:val="Normal"/>
        <w:rPr>
          <w:b/>
          <w:bCs/>
          <w:sz w:val="28"/>
          <w:szCs w:val="28"/>
        </w:rPr>
      </w:pPr>
      <w:r>
        <w:rPr>
          <w:b/>
          <w:bCs/>
          <w:sz w:val="28"/>
          <w:szCs w:val="28"/>
        </w:rPr>
      </w:r>
    </w:p>
    <w:p>
      <w:pPr>
        <w:pStyle w:val="Heading2"/>
        <w:ind w:hanging="0" w:start="0"/>
        <w:rPr/>
      </w:pPr>
      <w:r>
        <w:rPr/>
        <w:t xml:space="preserve">Now that we have announced </w:t>
      </w:r>
      <w:r>
        <w:rPr>
          <w:i/>
          <w:iCs/>
        </w:rPr>
        <w:t xml:space="preserve">what </w:t>
      </w:r>
      <w:r>
        <w:rPr/>
        <w:t xml:space="preserve">the changes are that we are making in the GPG organization, I wanted to take a few minutes to explain </w:t>
      </w:r>
      <w:r>
        <w:rPr>
          <w:i/>
          <w:iCs/>
        </w:rPr>
        <w:t xml:space="preserve">why </w:t>
      </w:r>
      <w:r>
        <w:rPr/>
        <w:t>we are making them…</w:t>
      </w:r>
    </w:p>
    <w:p>
      <w:pPr>
        <w:pStyle w:val="Heading2"/>
        <w:ind w:hanging="0" w:start="0"/>
        <w:rPr/>
      </w:pPr>
      <w:r>
        <w:rPr/>
      </w:r>
    </w:p>
    <w:p>
      <w:pPr>
        <w:pStyle w:val="Heading2"/>
        <w:ind w:hanging="0" w:start="0"/>
        <w:rPr/>
      </w:pPr>
      <w:r>
        <w:rPr/>
        <w:t>Larry DeRoin’s decision to retire this October, coupled with Rock Meyer’s announcement that he intends to retire early next year, created quite a void in our pipeline leadership ranks.  Furthermore, Bob Hall’s decision to rejoin Enron North America left a key job in FGT unfilled.  As I thought about how we should fill the void, I came to one very compelling conclusion: We had been successful over the past several years in combining key parts of GPG.  Why not complete the process?</w:t>
      </w:r>
    </w:p>
    <w:p>
      <w:pPr>
        <w:pStyle w:val="Normal"/>
        <w:rPr/>
      </w:pPr>
      <w:r>
        <w:rPr/>
      </w:r>
    </w:p>
    <w:p>
      <w:pPr>
        <w:pStyle w:val="Normal"/>
        <w:rPr/>
      </w:pPr>
      <w:r>
        <w:rPr>
          <w:b/>
          <w:bCs/>
          <w:sz w:val="24"/>
          <w:szCs w:val="24"/>
        </w:rPr>
        <w:t xml:space="preserve">We were hugely successful in pulling together all of Northern Natural Gas and Transwestern into the Enron Transportation &amp; Storage organization.  Thanks to hard work and dedication on the part of </w:t>
      </w:r>
      <w:r>
        <w:rPr>
          <w:b/>
          <w:bCs/>
          <w:i/>
          <w:iCs/>
          <w:sz w:val="24"/>
          <w:szCs w:val="24"/>
        </w:rPr>
        <w:t xml:space="preserve">all </w:t>
      </w:r>
      <w:r>
        <w:rPr>
          <w:b/>
          <w:bCs/>
          <w:sz w:val="24"/>
          <w:szCs w:val="24"/>
        </w:rPr>
        <w:t xml:space="preserve">affected employees, we found it was possible to improve our operating efficiencies, our responsiveness to customers, and our ability to manage costs.  At the same time, however, we were able to profitably demonstrate an ability to recognize and react to the differences that were unique to each pipeline’s market.  </w:t>
      </w:r>
    </w:p>
    <w:p>
      <w:pPr>
        <w:pStyle w:val="Normal"/>
        <w:rPr>
          <w:b/>
          <w:bCs/>
          <w:sz w:val="24"/>
          <w:szCs w:val="24"/>
        </w:rPr>
      </w:pPr>
      <w:r>
        <w:rPr>
          <w:b/>
          <w:bCs/>
          <w:sz w:val="24"/>
          <w:szCs w:val="24"/>
        </w:rPr>
      </w:r>
    </w:p>
    <w:p>
      <w:pPr>
        <w:pStyle w:val="Normal"/>
        <w:rPr>
          <w:b/>
          <w:bCs/>
          <w:sz w:val="24"/>
          <w:szCs w:val="24"/>
        </w:rPr>
      </w:pPr>
      <w:r>
        <w:rPr>
          <w:b/>
          <w:bCs/>
          <w:sz w:val="24"/>
          <w:szCs w:val="24"/>
        </w:rPr>
        <w:t xml:space="preserve">As you know, over time we also have combined all of GPG’s Finance, Accounting, Information Technology, and Operations activities. Those combinations have proved to be as successful as was the creation of ET&amp;S.   </w:t>
      </w:r>
    </w:p>
    <w:p>
      <w:pPr>
        <w:pStyle w:val="Normal"/>
        <w:rPr>
          <w:b/>
          <w:bCs/>
          <w:sz w:val="24"/>
          <w:szCs w:val="24"/>
        </w:rPr>
      </w:pPr>
      <w:r>
        <w:rPr>
          <w:b/>
          <w:bCs/>
          <w:sz w:val="24"/>
          <w:szCs w:val="24"/>
        </w:rPr>
      </w:r>
    </w:p>
    <w:p>
      <w:pPr>
        <w:pStyle w:val="Normal"/>
        <w:rPr>
          <w:b/>
          <w:bCs/>
          <w:sz w:val="24"/>
          <w:szCs w:val="24"/>
        </w:rPr>
      </w:pPr>
      <w:r>
        <w:rPr>
          <w:b/>
          <w:bCs/>
          <w:sz w:val="24"/>
          <w:szCs w:val="24"/>
        </w:rPr>
        <w:t xml:space="preserve">Given our organizational successes to date, as well as the standardization and common practices that guide so much of how the industry operates today, it made good business sense to go ahead and pull together the rest of the commercial, regulatory affairs and market services functions that reside in  ET&amp;S and FGT. </w:t>
      </w:r>
    </w:p>
    <w:p>
      <w:pPr>
        <w:pStyle w:val="Normal"/>
        <w:rPr>
          <w:b/>
          <w:bCs/>
          <w:sz w:val="24"/>
          <w:szCs w:val="24"/>
        </w:rPr>
      </w:pPr>
      <w:r>
        <w:rPr>
          <w:b/>
          <w:bCs/>
          <w:sz w:val="24"/>
          <w:szCs w:val="24"/>
        </w:rPr>
      </w:r>
    </w:p>
    <w:p>
      <w:pPr>
        <w:pStyle w:val="Normal"/>
        <w:rPr>
          <w:b/>
          <w:bCs/>
          <w:sz w:val="24"/>
          <w:szCs w:val="24"/>
        </w:rPr>
      </w:pPr>
      <w:r>
        <w:rPr>
          <w:b/>
          <w:bCs/>
          <w:sz w:val="24"/>
          <w:szCs w:val="24"/>
        </w:rPr>
        <w:t>Recognizing the rationale for merging commercial activities, you might wonder why the similar functions at Northern Plains were not included in our decision.  Notwithstanding our ability to successfully fold NPNG’s Accounting, Finance, IT and Operations functions into GPG, there exists between Northern Border and Northern Natural Gas certain commercial overlap to which we are very sensitive.  Given those sensitivities, we elected to keep separate NBPL’s commercial and commercial-support functions.</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t xml:space="preserve">An excellent illustration of the benefits of employing intellectual capital from across traditional company lines to provide incremental benefit to GPG was our recent offering of Transwestern pipeline capacity on EnronOnline.  Before we rolled out the offering, representatives from each of our pipelines and the divisions that support them worked together, quickly and creatively, to develop a complete line of new products and services that will be offered on-line in the coming months.  </w:t>
      </w:r>
    </w:p>
    <w:p>
      <w:pPr>
        <w:pStyle w:val="Normal"/>
        <w:rPr>
          <w:b/>
          <w:bCs/>
          <w:sz w:val="24"/>
          <w:szCs w:val="24"/>
        </w:rPr>
      </w:pPr>
      <w:r>
        <w:rPr>
          <w:b/>
          <w:bCs/>
          <w:sz w:val="24"/>
          <w:szCs w:val="24"/>
        </w:rPr>
      </w:r>
    </w:p>
    <w:p>
      <w:pPr>
        <w:pStyle w:val="Normal"/>
        <w:rPr>
          <w:b/>
          <w:bCs/>
          <w:sz w:val="24"/>
          <w:szCs w:val="24"/>
        </w:rPr>
      </w:pPr>
      <w:r>
        <w:rPr>
          <w:b/>
          <w:bCs/>
          <w:sz w:val="24"/>
          <w:szCs w:val="24"/>
        </w:rPr>
        <w:t>The organization changes we announced this week represent another important step in the ongoing process of “retooling” GPG to ensure our future success.  As we already have demonstrated, combinations like this one enable us not only to improve dramatically—and profitably—our operating efficiencies, they enable us to more effectively bring to bear our employees’ talent and energy in efforts to more effectively compete in an increasingly tough business climate.</w:t>
      </w:r>
    </w:p>
    <w:p>
      <w:pPr>
        <w:pStyle w:val="Heading2"/>
        <w:ind w:hanging="0" w:start="0"/>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szCs w:val="24"/>
    </w:rPr>
  </w:style>
  <w:style w:type="paragraph" w:styleId="Heading2">
    <w:name w:val="heading 2"/>
    <w:basedOn w:val="Normal"/>
    <w:next w:val="Normal"/>
    <w:qFormat/>
    <w:pPr>
      <w:keepNext w:val="true"/>
      <w:numPr>
        <w:ilvl w:val="1"/>
        <w:numId w:val="1"/>
      </w:numPr>
      <w:outlineLvl w:val="1"/>
    </w:pPr>
    <w:rPr>
      <w:b/>
      <w:bCs/>
      <w:sz w:val="24"/>
      <w:szCs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2000-07-11T15:57:00Z</dcterms:created>
  <dc:creator>ots</dc:creator>
  <dc:description/>
  <dc:language>en-CA</dc:language>
  <cp:lastModifiedBy>ots</cp:lastModifiedBy>
  <cp:lastPrinted>2000-07-13T14:30:00Z</cp:lastPrinted>
  <dcterms:modified xsi:type="dcterms:W3CDTF">2000-07-13T17:00:00Z</dcterms:modified>
  <cp:revision>11</cp:revision>
  <dc:subject/>
  <dc:title/>
</cp:coreProperties>
</file>