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jc w:val="center"/>
        <w:rPr>
          <w:sz w:val="40"/>
          <w:lang w:val="en-CA"/>
        </w:rPr>
      </w:pPr>
      <w:r>
        <w:rPr>
          <w:sz w:val="40"/>
          <w:lang w:val="en-CA"/>
        </w:rPr>
        <w:object w:dxaOrig="2861" w:dyaOrig="256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0.9pt;width:79.25pt;height:79.25pt;mso-wrap-distance-left:9.05pt;mso-wrap-distance-right:9.05pt;mso-position-horizontal-relative:text;mso-position-vertical-relative:text" filled="f" o:ole="">
            <v:imagedata r:id="rId3" o:title=""/>
          </v:shape>
          <o:OLEObject Type="Embed" ProgID="" ShapeID="ole_rId2" DrawAspect="Content" ObjectID="_955611006" r:id="rId2"/>
        </w:object>
      </w:r>
    </w:p>
    <w:p>
      <w:pPr>
        <w:pStyle w:val="Normal"/>
        <w:tabs>
          <w:tab w:val="left" w:pos="-1440" w:leader="none"/>
          <w:tab w:val="left" w:pos="-720" w:leader="none"/>
          <w:tab w:val="left" w:pos="-1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1440" w:end="0"/>
        <w:rPr>
          <w:rFonts w:ascii="Arial" w:hAnsi="Arial" w:cs="Arial"/>
          <w:sz w:val="36"/>
          <w:u w:val="single"/>
        </w:rPr>
      </w:pPr>
      <w:r>
        <w:rPr>
          <w:rFonts w:cs="Arial" w:ascii="Arial" w:hAnsi="Arial"/>
          <w:b/>
          <w:i/>
          <w:sz w:val="36"/>
          <w:u w:val="single"/>
        </w:rPr>
        <w:t>MARINER ENERGY, INC.</w:t>
      </w:r>
    </w:p>
    <w:p>
      <w:pPr>
        <w:pStyle w:val="Normal"/>
        <w:tabs>
          <w:tab w:val="left" w:pos="-1440" w:leader="none"/>
          <w:tab w:val="left" w:pos="-720" w:leader="none"/>
          <w:tab w:val="left" w:pos="-1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rFonts w:ascii="Arial" w:hAnsi="Arial" w:cs="Arial"/>
        </w:rPr>
      </w:pPr>
      <w:r>
        <w:rPr>
          <w:rFonts w:eastAsia="Arial" w:cs="Arial" w:ascii="Arial" w:hAnsi="Arial"/>
        </w:rPr>
        <w:t xml:space="preserve">    </w:t>
      </w:r>
      <w:r>
        <w:rPr>
          <w:rFonts w:cs="Arial" w:ascii="Arial" w:hAnsi="Arial"/>
        </w:rPr>
        <w:t>580 WestLake Park Blvd., Suite 1300   Houston, Texas  77079</w:t>
      </w:r>
    </w:p>
    <w:p>
      <w:pPr>
        <w:pStyle w:val="Normal"/>
        <w:rPr>
          <w:rFonts w:ascii="Arial" w:hAnsi="Arial" w:cs="Arial"/>
          <w:b/>
        </w:rPr>
      </w:pPr>
      <w:r>
        <w:rPr>
          <w:rFonts w:cs="Arial" w:ascii="Arial" w:hAnsi="Arial"/>
          <w:b/>
        </w:rPr>
      </w:r>
    </w:p>
    <w:p>
      <w:pPr>
        <w:pStyle w:val="Heading5"/>
        <w:rPr>
          <w:b w:val="false"/>
          <w:sz w:val="28"/>
        </w:rPr>
      </w:pPr>
      <w:r>
        <w:rPr>
          <w:b w:val="false"/>
          <w:sz w:val="28"/>
        </w:rPr>
      </w:r>
    </w:p>
    <w:p>
      <w:pPr>
        <w:pStyle w:val="Heading5"/>
        <w:rPr>
          <w:sz w:val="28"/>
        </w:rPr>
      </w:pPr>
      <w:r>
        <w:rPr>
          <w:sz w:val="28"/>
        </w:rPr>
      </w:r>
    </w:p>
    <w:p>
      <w:pPr>
        <w:pStyle w:val="Heading5"/>
        <w:rPr/>
      </w:pPr>
      <w:r>
        <w:rPr>
          <w:sz w:val="28"/>
        </w:rPr>
        <w:t>News  Release</w:t>
      </w:r>
      <w:r>
        <w:rPr>
          <w:sz w:val="22"/>
        </w:rPr>
        <w:t xml:space="preserve"> </w:t>
      </w:r>
    </w:p>
    <w:p>
      <w:pPr>
        <w:pStyle w:val="Normal"/>
        <w:jc w:val="end"/>
        <w:rPr>
          <w:rFonts w:ascii="Arial" w:hAnsi="Arial" w:cs="Arial"/>
          <w:b/>
          <w:sz w:val="22"/>
        </w:rPr>
      </w:pPr>
      <w:r>
        <w:rPr>
          <w:rFonts w:cs="Arial" w:ascii="Arial" w:hAnsi="Arial"/>
          <w:b/>
          <w:sz w:val="22"/>
        </w:rPr>
        <w:tab/>
        <w:tab/>
        <w:tab/>
        <w:tab/>
        <w:tab/>
        <w:tab/>
        <w:tab/>
        <w:tab/>
      </w:r>
      <w:r>
        <w:rPr>
          <w:rFonts w:cs="Arial" w:ascii="Arial" w:hAnsi="Arial"/>
          <w:sz w:val="22"/>
        </w:rPr>
        <w:t>For Further Information Contact:</w:t>
      </w:r>
    </w:p>
    <w:p>
      <w:pPr>
        <w:pStyle w:val="Normal"/>
        <w:jc w:val="end"/>
        <w:rPr>
          <w:rFonts w:ascii="Arial" w:hAnsi="Arial" w:cs="Arial"/>
          <w:b/>
          <w:sz w:val="22"/>
        </w:rPr>
      </w:pPr>
      <w:r>
        <w:rPr>
          <w:rFonts w:cs="Arial" w:ascii="Arial" w:hAnsi="Arial"/>
          <w:b/>
          <w:sz w:val="22"/>
        </w:rPr>
        <w:t>Frank A. Pici, Chief Financial Officer</w:t>
      </w:r>
    </w:p>
    <w:p>
      <w:pPr>
        <w:pStyle w:val="Normal"/>
        <w:jc w:val="end"/>
        <w:rPr>
          <w:rFonts w:ascii="Arial" w:hAnsi="Arial" w:cs="Arial"/>
          <w:b/>
          <w:sz w:val="22"/>
        </w:rPr>
      </w:pPr>
      <w:r>
        <w:rPr>
          <w:rFonts w:cs="Arial" w:ascii="Arial" w:hAnsi="Arial"/>
          <w:b/>
          <w:sz w:val="22"/>
        </w:rPr>
        <w:t>(281) 584-5540</w:t>
      </w:r>
    </w:p>
    <w:p>
      <w:pPr>
        <w:pStyle w:val="Normal"/>
        <w:pBdr>
          <w:bottom w:val="single" w:sz="12" w:space="1" w:color="000000"/>
        </w:pBdr>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p>
      <w:pPr>
        <w:pStyle w:val="Heading1"/>
        <w:ind w:hanging="0" w:start="0"/>
        <w:jc w:val="start"/>
        <w:rPr>
          <w:rFonts w:ascii="Arial" w:hAnsi="Arial" w:cs="Arial"/>
          <w:u w:val="single"/>
        </w:rPr>
      </w:pPr>
      <w:r>
        <w:rPr>
          <w:rFonts w:cs="Arial" w:ascii="Arial" w:hAnsi="Arial"/>
          <w:u w:val="single"/>
        </w:rPr>
        <w:t>Mariner Energy Announces Record Results for 2000</w:t>
      </w:r>
    </w:p>
    <w:p>
      <w:pPr>
        <w:pStyle w:val="Normal"/>
        <w:rPr>
          <w:rFonts w:ascii="Arial" w:hAnsi="Arial" w:cs="Arial"/>
          <w:u w:val="single"/>
        </w:rPr>
      </w:pPr>
      <w:r>
        <w:rPr>
          <w:rFonts w:cs="Arial" w:ascii="Arial" w:hAnsi="Arial"/>
          <w:u w:val="single"/>
        </w:rPr>
      </w:r>
    </w:p>
    <w:p>
      <w:pPr>
        <w:pStyle w:val="Normal"/>
        <w:ind w:firstLine="720" w:end="0"/>
        <w:rPr/>
      </w:pPr>
      <w:r>
        <w:rPr>
          <w:rFonts w:cs="Arial" w:ascii="Arial" w:hAnsi="Arial"/>
          <w:b/>
        </w:rPr>
        <w:t>Houston, TX</w:t>
      </w:r>
      <w:r>
        <w:rPr>
          <w:rFonts w:cs="Arial" w:ascii="Arial" w:hAnsi="Arial"/>
        </w:rPr>
        <w:t xml:space="preserve"> (March 8, 2001) … Mariner Energy, Inc. today reported that 2000 was a record year in several categories, including net income, revenue, EBITDA</w:t>
      </w:r>
      <w:r>
        <w:rPr>
          <w:rFonts w:cs="Arial" w:ascii="Arial" w:hAnsi="Arial"/>
          <w:vertAlign w:val="superscript"/>
        </w:rPr>
        <w:t>(1)</w:t>
      </w:r>
      <w:r>
        <w:rPr>
          <w:rFonts w:cs="Arial" w:ascii="Arial" w:hAnsi="Arial"/>
        </w:rPr>
        <w:t xml:space="preserve">, proved reserves and production.  Net income for 2000 was $21.9 million, the highest in the Company’s history, compared to a net loss of $10.0 million for 1999.  Revenue in 2000 was a record $121.2 million, more than double 1999 revenue of $54.5 million.  EBITDA was a record $89.6 million in 2000 versus EBITDA of $35.6 million in 1999. </w:t>
      </w:r>
    </w:p>
    <w:p>
      <w:pPr>
        <w:pStyle w:val="Normal"/>
        <w:ind w:firstLine="720" w:end="0"/>
        <w:rPr>
          <w:rFonts w:ascii="Arial" w:hAnsi="Arial" w:cs="Arial"/>
        </w:rPr>
      </w:pPr>
      <w:r>
        <w:rPr>
          <w:rFonts w:cs="Arial" w:ascii="Arial" w:hAnsi="Arial"/>
        </w:rPr>
      </w:r>
    </w:p>
    <w:p>
      <w:pPr>
        <w:pStyle w:val="Normal"/>
        <w:ind w:firstLine="720" w:end="0"/>
        <w:rPr/>
      </w:pPr>
      <w:r>
        <w:rPr>
          <w:rFonts w:cs="Arial" w:ascii="Arial" w:hAnsi="Arial"/>
        </w:rPr>
        <w:t>Production during 2000 increased to 36.3 billion cubic feet of natural gas equivalent (Bcfe) from 24.9 Bcfe in 1999, a 46 percent improvement and a Company record.  Production from the Pluto, Apia and Black Widow projects, all located in the Deepwater Gulf of Mexico and commissioned during 2000, more than offset production declines in the Company’s other fields, primarily the Sandy Lake field, located onshore, and the Dulcimer and Rembrandt fields, located offshore.  Realized prices in 2000 were $3.34 per thousand cubic feet of natural gas equivalent (Mcfe) compared to $2.19 Mcfe in 1999.  The cash margin</w:t>
      </w:r>
      <w:r>
        <w:rPr>
          <w:rFonts w:cs="Arial" w:ascii="Arial" w:hAnsi="Arial"/>
          <w:vertAlign w:val="superscript"/>
        </w:rPr>
        <w:t>(2)</w:t>
      </w:r>
      <w:r>
        <w:rPr>
          <w:rFonts w:cs="Arial" w:ascii="Arial" w:hAnsi="Arial"/>
        </w:rPr>
        <w:t xml:space="preserve"> for the year 2000 increased to $2.26 per Mcfe from $1.18 per Mcfe in 1999.  Increased production, higher realized prices and lower general and administration costs were the primary reasons for the improvement in the cash margin.</w:t>
      </w:r>
    </w:p>
    <w:p>
      <w:pPr>
        <w:pStyle w:val="Normal"/>
        <w:ind w:firstLine="720" w:end="0"/>
        <w:rPr>
          <w:rFonts w:ascii="Arial" w:hAnsi="Arial" w:cs="Arial"/>
        </w:rPr>
      </w:pPr>
      <w:r>
        <w:rPr>
          <w:rFonts w:cs="Arial" w:ascii="Arial" w:hAnsi="Arial"/>
        </w:rPr>
      </w:r>
    </w:p>
    <w:p>
      <w:pPr>
        <w:pStyle w:val="BodyTextIndent2"/>
        <w:rPr>
          <w:sz w:val="24"/>
        </w:rPr>
      </w:pPr>
      <w:r>
        <w:rPr>
          <w:sz w:val="24"/>
        </w:rPr>
        <w:t>Proved reserves as of December 31, 2000 were 203.6 Bcfe, also the highest level in the history of Mariner.  Proved reserves included net reserve additions of 63.6 Bcfe, representing 175% of 2000 production of 36.3 Bcfe.  Year 2000 additions included first proved reserve bookings from the Aconcagua and Devils Tower discoveries and proved reserves associated with the Company’s acquired interest in the King Kong exploitation project.</w:t>
      </w:r>
    </w:p>
    <w:p>
      <w:pPr>
        <w:pStyle w:val="BodyTextIndent2"/>
        <w:rPr>
          <w:sz w:val="24"/>
        </w:rPr>
      </w:pPr>
      <w:r>
        <w:rPr>
          <w:sz w:val="24"/>
        </w:rPr>
      </w:r>
    </w:p>
    <w:p>
      <w:pPr>
        <w:pStyle w:val="BodyTextIndent2"/>
        <w:rPr>
          <w:sz w:val="24"/>
        </w:rPr>
      </w:pPr>
      <w:r>
        <w:rPr>
          <w:sz w:val="24"/>
        </w:rPr>
        <w:t>Net capital expenditures for 2000 were $66.8 million before capitalized indirect costs of $12.3 million.  Exploration activities included the drilling of four exploratory wells, with one discovery in the Deepwater Gulf at Green Canyon block 737. The Company also acquired a 50% working interest in the King Kong Deepwater Gulf exploitation project, which will be developed during 2001.  Development activities included expenditures to bring the Black Widow and Apia Deepwater Gulf projects onto production and appraisal activities on the Aconcagua and Devils Tower Deepwater Gulf discoveries.  Net capital expenditures in 1999 were $52.3 million before $9.4 million of capitalized indirect costs.</w:t>
      </w:r>
    </w:p>
    <w:p>
      <w:pPr>
        <w:pStyle w:val="Normal"/>
        <w:ind w:firstLine="720" w:end="5904"/>
        <w:jc w:val="both"/>
        <w:rPr>
          <w:rFonts w:ascii="Arial" w:hAnsi="Arial" w:cs="Arial"/>
          <w:sz w:val="24"/>
        </w:rPr>
      </w:pPr>
      <w:r>
        <w:rPr>
          <w:rFonts w:cs="Arial" w:ascii="Arial" w:hAnsi="Arial"/>
          <w:sz w:val="24"/>
        </w:rPr>
      </w:r>
    </w:p>
    <w:p>
      <w:pPr>
        <w:pStyle w:val="BodyTextIndent"/>
        <w:rPr>
          <w:rFonts w:ascii="Arial" w:hAnsi="Arial" w:cs="Arial"/>
        </w:rPr>
      </w:pPr>
      <w:r>
        <w:rPr>
          <w:rFonts w:cs="Arial" w:ascii="Arial" w:hAnsi="Arial"/>
        </w:rPr>
        <w:t>Net income for the quarter ended December 31, 2000 was $6.1 million and EBITDA was $23.4 million.  Revenue in the fourth quarter of 2000 was $32.2 million with 7.9 Bcfe of production and realized prices of $4.09 per Mcfe.  Fourth quarter 2000 natural gas production  was reduced by approximately 1.3 Bcf to reflect the full year impact from the anticipated loss of royalty relief for several of the Company’s producing fields in the Deepwater Gulf because natural gas prices exceeding statutory thresholds set by the Minerals Management Service.  As a result, fourth quarter 2000 natural gas revenue was reduced by approximately $5.5 million.</w:t>
      </w:r>
    </w:p>
    <w:p>
      <w:pPr>
        <w:pStyle w:val="BodyTextIndent"/>
        <w:rPr>
          <w:rFonts w:ascii="Arial" w:hAnsi="Arial" w:cs="Arial"/>
        </w:rPr>
      </w:pPr>
      <w:r>
        <w:rPr>
          <w:rFonts w:cs="Arial" w:ascii="Arial" w:hAnsi="Arial"/>
        </w:rPr>
      </w:r>
    </w:p>
    <w:p>
      <w:pPr>
        <w:pStyle w:val="BodyTextIndent"/>
        <w:ind w:hanging="0" w:end="0"/>
        <w:rPr>
          <w:rFonts w:ascii="Arial" w:hAnsi="Arial" w:cs="Arial"/>
        </w:rPr>
      </w:pPr>
      <w:r>
        <w:rPr>
          <w:rFonts w:cs="Arial" w:ascii="Arial" w:hAnsi="Arial"/>
          <w:b/>
          <w:i/>
        </w:rPr>
        <w:t>Outlook</w:t>
      </w:r>
    </w:p>
    <w:p>
      <w:pPr>
        <w:pStyle w:val="BodyTextIndent"/>
        <w:ind w:hanging="0" w:end="0"/>
        <w:rPr>
          <w:rFonts w:ascii="Arial" w:hAnsi="Arial" w:cs="Arial"/>
        </w:rPr>
      </w:pPr>
      <w:r>
        <w:rPr>
          <w:rFonts w:cs="Arial" w:ascii="Arial" w:hAnsi="Arial"/>
        </w:rPr>
      </w:r>
    </w:p>
    <w:p>
      <w:pPr>
        <w:pStyle w:val="BodyTextIndent"/>
        <w:ind w:hanging="0" w:end="0"/>
        <w:rPr>
          <w:rFonts w:ascii="Arial" w:hAnsi="Arial" w:cs="Arial"/>
        </w:rPr>
      </w:pPr>
      <w:r>
        <w:rPr>
          <w:rFonts w:cs="Arial" w:ascii="Arial" w:hAnsi="Arial"/>
        </w:rPr>
        <w:tab/>
        <w:t>Production for 2001 is expected to be level or slightly higher than 2000’s average rate of 99 Mcfe per day, with production from the Black Widow project expected to offset anticipated production declines in the Company’s other fields.  With first production from the Mariner-operated King Kong Deepwater Gulf project scheduled for late fourth quarter 2001, the Company’s year-end 2001 production rate is expected to rise sharply compared to the production rate of 109 million cubic feet of natural gas equivalent per day at the end of 2000.</w:t>
      </w:r>
    </w:p>
    <w:p>
      <w:pPr>
        <w:pStyle w:val="BodyTextIndent"/>
        <w:ind w:hanging="0" w:end="0"/>
        <w:rPr>
          <w:rFonts w:ascii="Arial" w:hAnsi="Arial" w:cs="Arial"/>
        </w:rPr>
      </w:pPr>
      <w:r>
        <w:rPr>
          <w:rFonts w:cs="Arial" w:ascii="Arial" w:hAnsi="Arial"/>
        </w:rPr>
      </w:r>
    </w:p>
    <w:p>
      <w:pPr>
        <w:pStyle w:val="BodyTextIndent"/>
        <w:rPr>
          <w:rFonts w:ascii="Arial" w:hAnsi="Arial" w:cs="Arial"/>
        </w:rPr>
      </w:pPr>
      <w:r>
        <w:rPr>
          <w:rFonts w:cs="Arial" w:ascii="Arial" w:hAnsi="Arial"/>
        </w:rPr>
        <w:t xml:space="preserve">The capital expenditure budget for 2001 is approximately $147 million after estimated proceeds from property conveyances and before indirect costs and is the largest capital budget in the Company’s history.  The budget includes approximately $79 million for exploration activities and $68 million for development activities.  A very active Deepwater Gulf exploration program is underway, with funds budgeted to drill seven to ten wells.  The exploration budget also provides for additions to the Company’s Deepwater 3-D seismic database and to its Deepwater leasehold position.  The development budget includes funds for completion of the Company’s King Kong Deepwater Gulf exploitation project, development of the Aconcagua discovery and several development wells in currently-producing fields.  </w:t>
      </w:r>
    </w:p>
    <w:p>
      <w:pPr>
        <w:pStyle w:val="BodyTextIndent"/>
        <w:ind w:hanging="0" w:end="5904"/>
        <w:rPr>
          <w:rFonts w:ascii="Arial" w:hAnsi="Arial" w:cs="Arial"/>
        </w:rPr>
      </w:pPr>
      <w:r>
        <w:rPr>
          <w:rFonts w:cs="Arial" w:ascii="Arial" w:hAnsi="Arial"/>
        </w:rPr>
      </w:r>
    </w:p>
    <w:p>
      <w:pPr>
        <w:pStyle w:val="BodyTextIndent"/>
        <w:ind w:hanging="0" w:end="0"/>
        <w:rPr>
          <w:rFonts w:ascii="Arial" w:hAnsi="Arial" w:cs="Arial"/>
        </w:rPr>
      </w:pPr>
      <w:r>
        <w:rPr>
          <w:rFonts w:cs="Arial" w:ascii="Arial" w:hAnsi="Arial"/>
          <w:b/>
          <w:i/>
        </w:rPr>
        <w:t>Capital Resources</w:t>
      </w:r>
    </w:p>
    <w:p>
      <w:pPr>
        <w:pStyle w:val="BodyTextIndent"/>
        <w:ind w:hanging="0" w:end="5904"/>
        <w:rPr>
          <w:rFonts w:ascii="Arial" w:hAnsi="Arial" w:cs="Arial"/>
        </w:rPr>
      </w:pPr>
      <w:r>
        <w:rPr>
          <w:rFonts w:cs="Arial" w:ascii="Arial" w:hAnsi="Arial"/>
        </w:rPr>
      </w:r>
    </w:p>
    <w:p>
      <w:pPr>
        <w:pStyle w:val="BodyTextIndent"/>
        <w:ind w:hanging="0" w:end="0"/>
        <w:rPr>
          <w:rFonts w:ascii="Arial" w:hAnsi="Arial" w:cs="Arial"/>
        </w:rPr>
      </w:pPr>
      <w:r>
        <w:rPr>
          <w:rFonts w:cs="Arial" w:ascii="Arial" w:hAnsi="Arial"/>
        </w:rPr>
        <w:tab/>
        <w:t>Debt outstanding as of December 31, 2000 was $129.7 million and included $99.7 million of senior subordinated notes and $30.0 million drawn on the Company’s $70.0 million commercial bank revolving credit facility.  The Company intends to fund its 2001 capital expenditure budget with internally generated cash flow, borrowings under its credit facilities, and property conveyances, when appropriate.</w:t>
      </w:r>
    </w:p>
    <w:p>
      <w:pPr>
        <w:pStyle w:val="BodyTextIndent"/>
        <w:ind w:hanging="0" w:end="0"/>
        <w:rPr>
          <w:rFonts w:ascii="Arial" w:hAnsi="Arial" w:cs="Arial"/>
        </w:rPr>
      </w:pPr>
      <w:r>
        <w:rPr>
          <w:rFonts w:cs="Arial" w:ascii="Arial" w:hAnsi="Arial"/>
        </w:rPr>
      </w:r>
    </w:p>
    <w:p>
      <w:pPr>
        <w:pStyle w:val="Normal"/>
        <w:jc w:val="center"/>
        <w:rPr>
          <w:rFonts w:ascii="Arial" w:hAnsi="Arial" w:cs="Arial"/>
          <w:sz w:val="22"/>
        </w:rPr>
      </w:pPr>
      <w:r>
        <w:rPr>
          <w:rFonts w:cs="Arial" w:ascii="Arial" w:hAnsi="Arial"/>
          <w:sz w:val="22"/>
        </w:rPr>
        <w:t>------------</w:t>
      </w:r>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t>Mariner Energy, Inc. is a Houston-based oil and gas exploration and production company with principal operations in the Gulf of Mexico and along the U.S. Gulf Coast.  The Company is majority owned by an affiliate of Enron North America Corp. which, along with a group of Mariner employees, provided equity financing for a management-led buyout in 1996.  Mariner has been an active explorer in the Gulf Coast area since the mid-1980s (initially as Trafalgar House Oil and Gas USA Inc. and then as Hardy Oil &amp; Gas USA) and has successfully grown its production and reserve base through the drill bit.  Mariner is one of the most experienced independent operators in the Deepwater Gulf of Mexico, having operated nine field developments in the Deepwater Gulf since 1995.</w:t>
      </w:r>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b/>
          <w:sz w:val="22"/>
          <w:u w:val="single"/>
        </w:rPr>
      </w:pPr>
      <w:r>
        <w:rPr>
          <w:rFonts w:cs="Arial" w:ascii="Arial" w:hAnsi="Arial"/>
          <w:sz w:val="22"/>
        </w:rPr>
        <w:t>This news release, along with previous news releases and a link to the Company’s filings with the Securities and Exchange Commission, can now be accessed over the Internet using its web site (</w:t>
      </w:r>
      <w:hyperlink r:id="rId4">
        <w:r>
          <w:rPr>
            <w:rStyle w:val="Hyperlink"/>
            <w:rFonts w:cs="Arial" w:ascii="Arial" w:hAnsi="Arial"/>
            <w:sz w:val="22"/>
          </w:rPr>
          <w:t>www.mariner-energy.com)</w:t>
        </w:r>
      </w:hyperlink>
      <w:r>
        <w:rPr>
          <w:rFonts w:cs="Arial" w:ascii="Arial" w:hAnsi="Arial"/>
          <w:sz w:val="22"/>
        </w:rPr>
        <w:t xml:space="preserve">. </w:t>
      </w:r>
    </w:p>
    <w:p>
      <w:pPr>
        <w:pStyle w:val="Normal"/>
        <w:ind w:firstLine="720" w:end="0"/>
        <w:rPr>
          <w:rFonts w:ascii="Arial" w:hAnsi="Arial" w:cs="Arial"/>
          <w:b/>
          <w:sz w:val="22"/>
          <w:u w:val="single"/>
        </w:rPr>
      </w:pPr>
      <w:r>
        <w:rPr>
          <w:rFonts w:cs="Arial" w:ascii="Arial" w:hAnsi="Arial"/>
          <w:b/>
          <w:sz w:val="22"/>
          <w:u w:val="single"/>
        </w:rPr>
      </w:r>
    </w:p>
    <w:p>
      <w:pPr>
        <w:pStyle w:val="Normal"/>
        <w:ind w:firstLine="720" w:end="0"/>
        <w:rPr>
          <w:rFonts w:ascii="Arial" w:hAnsi="Arial" w:cs="Arial"/>
          <w:sz w:val="22"/>
        </w:rPr>
      </w:pPr>
      <w:r>
        <w:rPr>
          <w:rFonts w:cs="Arial" w:ascii="Arial" w:hAnsi="Arial"/>
          <w:sz w:val="22"/>
        </w:rPr>
        <w:t>This news release contains statements regarding future financial performance and results and other statements which are not historical facts.  These constitute forward-looking statements which are subject to risks and uncertainties that could cause actual results to differ materially.  Such risks include, but are not limited to, oil and gas price volatility, results of future drilling, availability of drilling rigs, future production and costs and other factors described in the Company’s publicly available Securities and Exchange Commission filings.</w:t>
      </w:r>
    </w:p>
    <w:p>
      <w:pPr>
        <w:pStyle w:val="Normal"/>
        <w:spacing w:before="0" w:after="120"/>
        <w:rPr>
          <w:rFonts w:ascii="Arial" w:hAnsi="Arial" w:cs="Arial"/>
          <w:sz w:val="22"/>
        </w:rPr>
      </w:pPr>
      <w:r>
        <w:rPr>
          <w:rFonts w:cs="Arial" w:ascii="Arial" w:hAnsi="Arial"/>
          <w:sz w:val="22"/>
        </w:rPr>
        <w:t>Footnotes:</w:t>
      </w:r>
    </w:p>
    <w:p>
      <w:pPr>
        <w:pStyle w:val="Normal"/>
        <w:tabs>
          <w:tab w:val="clear" w:pos="720"/>
          <w:tab w:val="left" w:pos="450" w:leader="none"/>
        </w:tabs>
        <w:spacing w:before="0" w:after="60"/>
        <w:ind w:hanging="446" w:start="446" w:end="0"/>
        <w:rPr/>
      </w:pPr>
      <w:r>
        <w:rPr>
          <w:rFonts w:cs="Arial" w:ascii="Arial" w:hAnsi="Arial"/>
          <w:sz w:val="22"/>
        </w:rPr>
        <w:t>(1) -</w:t>
      </w:r>
      <w:r>
        <w:rPr>
          <w:sz w:val="22"/>
        </w:rPr>
        <w:t xml:space="preserve"> </w:t>
      </w:r>
      <w:r>
        <w:rPr>
          <w:rFonts w:cs="Arial" w:ascii="Arial" w:hAnsi="Arial"/>
          <w:sz w:val="22"/>
        </w:rPr>
        <w:t>EBITDA equals earnings before interest, income taxes, depreciation, depletion, amortization, provision for litigation and impairment of oil and gas properties.</w:t>
      </w:r>
      <w:r>
        <w:rPr>
          <w:sz w:val="22"/>
        </w:rPr>
        <w:t xml:space="preserve"> </w:t>
      </w:r>
      <w:r>
        <w:rPr>
          <w:rFonts w:cs="Arial" w:ascii="Arial" w:hAnsi="Arial"/>
          <w:sz w:val="22"/>
        </w:rPr>
        <w:t>EBITDA should be used as a supplement to, and not as a supplement for, net earnings and cash provided by operating activities (as disclosed in the financial statements) in analyzing the Company’s results of operations and liquidity.</w:t>
      </w:r>
    </w:p>
    <w:p>
      <w:pPr>
        <w:pStyle w:val="Normal"/>
        <w:spacing w:before="0" w:after="120"/>
        <w:ind w:hanging="360" w:start="360" w:end="0"/>
        <w:rPr>
          <w:rFonts w:ascii="Arial" w:hAnsi="Arial" w:cs="Arial"/>
          <w:sz w:val="22"/>
        </w:rPr>
      </w:pPr>
      <w:r>
        <w:rPr>
          <w:rFonts w:cs="Arial" w:ascii="Arial" w:hAnsi="Arial"/>
          <w:sz w:val="22"/>
        </w:rPr>
      </w:r>
    </w:p>
    <w:p>
      <w:pPr>
        <w:pStyle w:val="BodyTextIndent2"/>
        <w:ind w:hanging="360" w:start="360" w:end="0"/>
        <w:rPr/>
      </w:pPr>
      <w:r>
        <w:rPr/>
        <w:t>(2) - Cash margin is equal to revenue (net of hedging) minus lease operating expenses and gross general and administrative costs after recoveries from third parties.  Gross general and administrative (G&amp;A) costs include the portion of such costs which have been capitalized by the Company under the full cost accounting method.  Cash margin measures the net cash generated by a company’s operations during a given period, without regard to the period such cash is physically received or spent by the company.</w:t>
      </w:r>
      <w:r>
        <w:br w:type="page"/>
      </w:r>
    </w:p>
    <w:p>
      <w:pPr>
        <w:pStyle w:val="Heading4"/>
        <w:ind w:start="0" w:end="0"/>
        <w:jc w:val="center"/>
        <w:rPr>
          <w:rFonts w:ascii="Arial" w:hAnsi="Arial" w:cs="Arial"/>
          <w:sz w:val="20"/>
        </w:rPr>
      </w:pPr>
      <w:r>
        <w:rPr>
          <w:rFonts w:cs="Arial" w:ascii="Arial" w:hAnsi="Arial"/>
          <w:sz w:val="20"/>
        </w:rPr>
        <w:t>MARINER ENERGY, INC.</w:t>
      </w:r>
    </w:p>
    <w:p>
      <w:pPr>
        <w:pStyle w:val="Heading4"/>
        <w:ind w:start="0" w:end="0"/>
        <w:jc w:val="center"/>
        <w:rPr>
          <w:rFonts w:ascii="Arial" w:hAnsi="Arial" w:cs="Arial"/>
          <w:sz w:val="20"/>
        </w:rPr>
      </w:pPr>
      <w:r>
        <w:rPr>
          <w:rFonts w:cs="Arial" w:ascii="Arial" w:hAnsi="Arial"/>
          <w:sz w:val="20"/>
        </w:rPr>
        <w:t>Fourth Quarter 2000 Summary Statistics (Unaudited)</w:t>
      </w:r>
    </w:p>
    <w:p>
      <w:pPr>
        <w:pStyle w:val="Normal"/>
        <w:ind w:firstLine="180" w:end="0"/>
        <w:rPr>
          <w:rFonts w:ascii="Arial" w:hAnsi="Arial" w:cs="Arial"/>
          <w:sz w:val="20"/>
        </w:rPr>
      </w:pPr>
      <w:r>
        <w:rPr>
          <w:rFonts w:cs="Arial" w:ascii="Arial" w:hAnsi="Arial"/>
          <w:sz w:val="20"/>
        </w:rPr>
      </w:r>
    </w:p>
    <w:p>
      <w:pPr>
        <w:pStyle w:val="Normal"/>
        <w:tabs>
          <w:tab w:val="clear" w:pos="720"/>
          <w:tab w:val="left" w:pos="-900" w:leader="none"/>
          <w:tab w:val="left" w:pos="-344" w:leader="none"/>
          <w:tab w:val="left" w:pos="-120" w:leader="none"/>
          <w:tab w:val="left" w:pos="240" w:leader="none"/>
          <w:tab w:val="left" w:pos="1095" w:leader="none"/>
          <w:tab w:val="left" w:pos="1586" w:leader="none"/>
          <w:tab w:val="left" w:pos="2306" w:leader="none"/>
          <w:tab w:val="decimal" w:pos="5889" w:leader="none"/>
          <w:tab w:val="left" w:pos="6249" w:leader="none"/>
          <w:tab w:val="left" w:pos="7116" w:leader="none"/>
          <w:tab w:val="decimal" w:pos="7776" w:leader="none"/>
          <w:tab w:val="decimal" w:pos="9309" w:leader="none"/>
          <w:tab w:val="left" w:pos="9579" w:leader="none"/>
        </w:tabs>
        <w:rPr>
          <w:rFonts w:ascii="Arial" w:hAnsi="Arial" w:cs="Arial"/>
          <w:sz w:val="20"/>
        </w:rPr>
      </w:pPr>
      <w:r>
        <w:rPr>
          <w:rFonts w:cs="Arial" w:ascii="Arial" w:hAnsi="Arial"/>
          <w:sz w:val="20"/>
        </w:rPr>
      </w:r>
    </w:p>
    <w:tbl>
      <w:tblPr>
        <w:tblW w:w="9980" w:type="dxa"/>
        <w:jc w:val="center"/>
        <w:tblInd w:w="0" w:type="dxa"/>
        <w:tblLayout w:type="fixed"/>
        <w:tblCellMar>
          <w:top w:w="0" w:type="dxa"/>
          <w:start w:w="30" w:type="dxa"/>
          <w:bottom w:w="0" w:type="dxa"/>
          <w:end w:w="30" w:type="dxa"/>
        </w:tblCellMar>
      </w:tblPr>
      <w:tblGrid>
        <w:gridCol w:w="4130"/>
        <w:gridCol w:w="1"/>
        <w:gridCol w:w="360"/>
        <w:gridCol w:w="22"/>
        <w:gridCol w:w="1067"/>
        <w:gridCol w:w="295"/>
        <w:gridCol w:w="1226"/>
        <w:gridCol w:w="22"/>
        <w:gridCol w:w="248"/>
        <w:gridCol w:w="22"/>
        <w:gridCol w:w="1102"/>
        <w:gridCol w:w="270"/>
        <w:gridCol w:w="1170"/>
        <w:gridCol w:w="45"/>
      </w:tblGrid>
      <w:tr>
        <w:trPr/>
        <w:tc>
          <w:tcPr>
            <w:tcW w:w="413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383" w:type="dxa"/>
            <w:gridSpan w:val="3"/>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2610" w:type="dxa"/>
            <w:gridSpan w:val="4"/>
            <w:tcBorders>
              <w:bottom w:val="single" w:sz="4" w:space="0" w:color="000000"/>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sz w:val="20"/>
              </w:rPr>
            </w:pPr>
            <w:r>
              <w:rPr>
                <w:rFonts w:cs="Arial" w:ascii="Arial" w:hAnsi="Arial"/>
                <w:sz w:val="20"/>
              </w:rPr>
              <w:t xml:space="preserve">Three Months Ended </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sz w:val="20"/>
              </w:rPr>
            </w:pPr>
            <w:r>
              <w:rPr>
                <w:rFonts w:cs="Arial" w:ascii="Arial" w:hAnsi="Arial"/>
                <w:sz w:val="20"/>
              </w:rPr>
              <w:t>December 31</w:t>
            </w:r>
          </w:p>
        </w:tc>
        <w:tc>
          <w:tcPr>
            <w:tcW w:w="270"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center"/>
              <w:rPr>
                <w:rFonts w:ascii="Arial" w:hAnsi="Arial" w:cs="Arial"/>
                <w:sz w:val="20"/>
              </w:rPr>
            </w:pPr>
            <w:r>
              <w:rPr>
                <w:rFonts w:cs="Arial" w:ascii="Arial" w:hAnsi="Arial"/>
                <w:sz w:val="20"/>
              </w:rPr>
            </w:r>
          </w:p>
        </w:tc>
        <w:tc>
          <w:tcPr>
            <w:tcW w:w="2587" w:type="dxa"/>
            <w:gridSpan w:val="4"/>
            <w:tcBorders>
              <w:bottom w:val="single" w:sz="4" w:space="0" w:color="000000"/>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sz w:val="20"/>
              </w:rPr>
            </w:pPr>
            <w:r>
              <w:rPr>
                <w:rFonts w:cs="Arial" w:ascii="Arial" w:hAnsi="Arial"/>
                <w:sz w:val="20"/>
              </w:rPr>
              <w:t>Twelve Months Ended</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sz w:val="20"/>
              </w:rPr>
            </w:pPr>
            <w:r>
              <w:rPr>
                <w:rFonts w:cs="Arial" w:ascii="Arial" w:hAnsi="Arial"/>
                <w:sz w:val="20"/>
              </w:rPr>
              <w:t>December 31</w:t>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36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center"/>
              <w:rPr>
                <w:rFonts w:ascii="Arial" w:hAnsi="Arial" w:cs="Arial"/>
                <w:sz w:val="20"/>
              </w:rPr>
            </w:pPr>
            <w:r>
              <w:rPr>
                <w:rFonts w:cs="Arial" w:ascii="Arial" w:hAnsi="Arial"/>
                <w:sz w:val="20"/>
              </w:rPr>
            </w:r>
          </w:p>
        </w:tc>
        <w:tc>
          <w:tcPr>
            <w:tcW w:w="1089" w:type="dxa"/>
            <w:gridSpan w:val="2"/>
            <w:tcBorders>
              <w:bottom w:val="single" w:sz="4" w:space="0" w:color="000000"/>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sz w:val="20"/>
              </w:rPr>
            </w:pPr>
            <w:r>
              <w:rPr>
                <w:rFonts w:cs="Arial" w:ascii="Arial" w:hAnsi="Arial"/>
                <w:sz w:val="20"/>
              </w:rPr>
              <w:t>2000</w:t>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bottom w:val="single" w:sz="4" w:space="0" w:color="000000"/>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sz w:val="20"/>
              </w:rPr>
            </w:pPr>
            <w:r>
              <w:rPr>
                <w:rFonts w:cs="Arial" w:ascii="Arial" w:hAnsi="Arial"/>
                <w:sz w:val="20"/>
              </w:rPr>
              <w:t>1999</w:t>
            </w:r>
          </w:p>
        </w:tc>
        <w:tc>
          <w:tcPr>
            <w:tcW w:w="270"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center"/>
              <w:rPr>
                <w:rFonts w:ascii="Arial" w:hAnsi="Arial" w:cs="Arial"/>
                <w:sz w:val="20"/>
              </w:rPr>
            </w:pPr>
            <w:r>
              <w:rPr>
                <w:rFonts w:cs="Arial" w:ascii="Arial" w:hAnsi="Arial"/>
                <w:sz w:val="20"/>
              </w:rPr>
            </w:r>
          </w:p>
        </w:tc>
        <w:tc>
          <w:tcPr>
            <w:tcW w:w="1124" w:type="dxa"/>
            <w:gridSpan w:val="2"/>
            <w:tcBorders>
              <w:bottom w:val="single" w:sz="4" w:space="0" w:color="000000"/>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sz w:val="20"/>
              </w:rPr>
            </w:pPr>
            <w:r>
              <w:rPr>
                <w:rFonts w:cs="Arial" w:ascii="Arial" w:hAnsi="Arial"/>
                <w:sz w:val="20"/>
              </w:rPr>
              <w:t>2000</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bottom w:val="single" w:sz="4" w:space="0" w:color="000000"/>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sz w:val="20"/>
              </w:rPr>
            </w:pPr>
            <w:r>
              <w:rPr>
                <w:rFonts w:cs="Arial" w:ascii="Arial" w:hAnsi="Arial"/>
                <w:sz w:val="20"/>
              </w:rPr>
              <w:t>1999</w:t>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36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270"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rHeight w:val="149" w:hRule="exact"/>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both"/>
              <w:rPr>
                <w:rFonts w:ascii="Arial" w:hAnsi="Arial" w:cs="Arial"/>
                <w:sz w:val="20"/>
              </w:rPr>
            </w:pPr>
            <w:r>
              <w:rPr>
                <w:rFonts w:cs="Arial" w:ascii="Arial" w:hAnsi="Arial"/>
                <w:sz w:val="20"/>
              </w:rPr>
            </w:r>
          </w:p>
        </w:tc>
        <w:tc>
          <w:tcPr>
            <w:tcW w:w="360" w:type="dxa"/>
            <w:tcBorders/>
          </w:tcPr>
          <w:p>
            <w:pPr>
              <w:pStyle w:val="Normal"/>
              <w:tabs>
                <w:tab w:val="clear" w:pos="720"/>
                <w:tab w:val="left" w:pos="-900" w:leader="none"/>
                <w:tab w:val="left" w:pos="-344" w:leader="none"/>
                <w:tab w:val="decimal" w:pos="698"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158" w:start="158" w:end="0"/>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left" w:pos="-900" w:leader="none"/>
                <w:tab w:val="left" w:pos="-344" w:leader="none"/>
                <w:tab w:val="decimal" w:pos="698"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158" w:start="158" w:end="0"/>
              <w:jc w:val="end"/>
              <w:rPr>
                <w:rFonts w:ascii="Arial" w:hAnsi="Arial" w:cs="Arial"/>
                <w:sz w:val="20"/>
              </w:rPr>
            </w:pPr>
            <w:r>
              <w:rPr>
                <w:rFonts w:cs="Arial" w:ascii="Arial" w:hAnsi="Arial"/>
                <w:sz w:val="20"/>
              </w:rPr>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270"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both"/>
              <w:rPr>
                <w:rFonts w:ascii="Arial" w:hAnsi="Arial" w:cs="Arial"/>
                <w:sz w:val="20"/>
              </w:rPr>
            </w:pPr>
            <w:r>
              <w:rPr>
                <w:rFonts w:cs="Arial" w:ascii="Arial" w:hAnsi="Arial"/>
                <w:sz w:val="20"/>
              </w:rPr>
              <w:t>Total revenue, $MM</w:t>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end="298"/>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left" w:pos="-900" w:leader="none"/>
                <w:tab w:val="decimal" w:pos="5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hanging="64" w:start="42" w:end="-3"/>
              <w:rPr>
                <w:rFonts w:ascii="Arial" w:hAnsi="Arial" w:cs="Arial"/>
                <w:sz w:val="20"/>
              </w:rPr>
            </w:pPr>
            <w:r>
              <w:rPr>
                <w:rFonts w:cs="Arial" w:ascii="Arial" w:hAnsi="Arial"/>
                <w:sz w:val="20"/>
              </w:rPr>
              <w:tab/>
              <w:tab/>
              <w:t>$32.2</w:t>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end="295"/>
              <w:jc w:val="end"/>
              <w:rPr>
                <w:rFonts w:ascii="Arial" w:hAnsi="Arial" w:cs="Arial"/>
                <w:sz w:val="20"/>
              </w:rPr>
            </w:pPr>
            <w:r>
              <w:rPr>
                <w:rFonts w:cs="Arial" w:ascii="Arial" w:hAnsi="Arial"/>
                <w:sz w:val="20"/>
              </w:rPr>
              <w:t>$14.0</w:t>
            </w:r>
          </w:p>
        </w:tc>
        <w:tc>
          <w:tcPr>
            <w:tcW w:w="270" w:type="dxa"/>
            <w:gridSpan w:val="2"/>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240"/>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32"/>
              <w:rPr>
                <w:rFonts w:ascii="Arial" w:hAnsi="Arial" w:cs="Arial"/>
                <w:sz w:val="20"/>
              </w:rPr>
            </w:pPr>
            <w:r>
              <w:rPr>
                <w:rFonts w:cs="Arial" w:ascii="Arial" w:hAnsi="Arial"/>
                <w:sz w:val="20"/>
              </w:rPr>
              <w:tab/>
              <w:t>$121.2</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58"/>
              <w:rPr>
                <w:rFonts w:ascii="Arial" w:hAnsi="Arial" w:cs="Arial"/>
                <w:sz w:val="20"/>
              </w:rPr>
            </w:pPr>
            <w:r>
              <w:rPr>
                <w:rFonts w:cs="Arial" w:ascii="Arial" w:hAnsi="Arial"/>
                <w:sz w:val="20"/>
              </w:rPr>
              <w:tab/>
              <w:t>$54.5</w:t>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rHeight w:val="149" w:hRule="exact"/>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both"/>
              <w:rPr>
                <w:rFonts w:ascii="Arial" w:hAnsi="Arial" w:cs="Arial"/>
                <w:sz w:val="20"/>
              </w:rPr>
            </w:pPr>
            <w:r>
              <w:rPr>
                <w:rFonts w:cs="Arial" w:ascii="Arial" w:hAnsi="Arial"/>
                <w:sz w:val="20"/>
              </w:rPr>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98"/>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left" w:pos="-900" w:leader="none"/>
                <w:tab w:val="decimal" w:pos="5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3"/>
              <w:rPr>
                <w:rFonts w:ascii="Arial" w:hAnsi="Arial" w:cs="Arial"/>
                <w:sz w:val="20"/>
              </w:rPr>
            </w:pPr>
            <w:r>
              <w:rPr>
                <w:rFonts w:cs="Arial" w:ascii="Arial" w:hAnsi="Arial"/>
                <w:sz w:val="20"/>
              </w:rPr>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end="295"/>
              <w:jc w:val="end"/>
              <w:rPr>
                <w:rFonts w:ascii="Arial" w:hAnsi="Arial" w:cs="Arial"/>
                <w:sz w:val="20"/>
              </w:rPr>
            </w:pPr>
            <w:r>
              <w:rPr>
                <w:rFonts w:cs="Arial" w:ascii="Arial" w:hAnsi="Arial"/>
                <w:sz w:val="20"/>
              </w:rPr>
            </w:r>
          </w:p>
        </w:tc>
        <w:tc>
          <w:tcPr>
            <w:tcW w:w="270" w:type="dxa"/>
            <w:gridSpan w:val="2"/>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240"/>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32"/>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58"/>
              <w:rPr>
                <w:rFonts w:ascii="Arial" w:hAnsi="Arial" w:cs="Arial"/>
                <w:sz w:val="20"/>
              </w:rPr>
            </w:pPr>
            <w:r>
              <w:rPr>
                <w:rFonts w:cs="Arial" w:ascii="Arial" w:hAnsi="Arial"/>
                <w:sz w:val="20"/>
              </w:rPr>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both"/>
              <w:rPr/>
            </w:pPr>
            <w:r>
              <w:rPr>
                <w:rFonts w:cs="Arial" w:ascii="Arial" w:hAnsi="Arial"/>
                <w:sz w:val="20"/>
              </w:rPr>
              <w:t>EBITDA</w:t>
            </w:r>
            <w:r>
              <w:rPr>
                <w:rFonts w:cs="Arial" w:ascii="Arial" w:hAnsi="Arial"/>
                <w:sz w:val="20"/>
                <w:vertAlign w:val="superscript"/>
              </w:rPr>
              <w:t>(a)</w:t>
            </w:r>
            <w:r>
              <w:rPr>
                <w:rFonts w:cs="Arial" w:ascii="Arial" w:hAnsi="Arial"/>
                <w:sz w:val="20"/>
              </w:rPr>
              <w:t xml:space="preserve">, $MM </w:t>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98"/>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left" w:pos="-900" w:leader="none"/>
                <w:tab w:val="decimal" w:pos="5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hanging="22" w:start="158" w:end="-3"/>
              <w:rPr>
                <w:rFonts w:ascii="Arial" w:hAnsi="Arial" w:cs="Arial"/>
                <w:sz w:val="20"/>
              </w:rPr>
            </w:pPr>
            <w:r>
              <w:rPr>
                <w:rFonts w:cs="Arial" w:ascii="Arial" w:hAnsi="Arial"/>
                <w:sz w:val="20"/>
              </w:rPr>
              <w:tab/>
              <w:tab/>
              <w:t>23.4</w:t>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end="295"/>
              <w:jc w:val="end"/>
              <w:rPr>
                <w:rFonts w:ascii="Arial" w:hAnsi="Arial" w:cs="Arial"/>
                <w:sz w:val="20"/>
              </w:rPr>
            </w:pPr>
            <w:r>
              <w:rPr>
                <w:rFonts w:cs="Arial" w:ascii="Arial" w:hAnsi="Arial"/>
                <w:sz w:val="20"/>
              </w:rPr>
              <w:t>8.9</w:t>
            </w:r>
          </w:p>
        </w:tc>
        <w:tc>
          <w:tcPr>
            <w:tcW w:w="270" w:type="dxa"/>
            <w:gridSpan w:val="2"/>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240"/>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32"/>
              <w:rPr>
                <w:rFonts w:ascii="Arial" w:hAnsi="Arial" w:cs="Arial"/>
                <w:sz w:val="20"/>
              </w:rPr>
            </w:pPr>
            <w:r>
              <w:rPr>
                <w:rFonts w:cs="Arial" w:ascii="Arial" w:hAnsi="Arial"/>
                <w:sz w:val="20"/>
              </w:rPr>
              <w:tab/>
              <w:t>89.6</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58"/>
              <w:rPr>
                <w:rFonts w:ascii="Arial" w:hAnsi="Arial" w:cs="Arial"/>
                <w:sz w:val="20"/>
              </w:rPr>
            </w:pPr>
            <w:r>
              <w:rPr>
                <w:rFonts w:cs="Arial" w:ascii="Arial" w:hAnsi="Arial"/>
                <w:sz w:val="20"/>
              </w:rPr>
              <w:tab/>
              <w:t>35.6</w:t>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rHeight w:val="149" w:hRule="exact"/>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both"/>
              <w:rPr>
                <w:rFonts w:ascii="Arial" w:hAnsi="Arial" w:cs="Arial"/>
                <w:sz w:val="20"/>
              </w:rPr>
            </w:pPr>
            <w:r>
              <w:rPr>
                <w:rFonts w:cs="Arial" w:ascii="Arial" w:hAnsi="Arial"/>
                <w:sz w:val="20"/>
              </w:rPr>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98"/>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left" w:pos="-900" w:leader="none"/>
                <w:tab w:val="decimal" w:pos="5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3"/>
              <w:rPr>
                <w:rFonts w:ascii="Arial" w:hAnsi="Arial" w:cs="Arial"/>
                <w:sz w:val="20"/>
              </w:rPr>
            </w:pPr>
            <w:r>
              <w:rPr>
                <w:rFonts w:cs="Arial" w:ascii="Arial" w:hAnsi="Arial"/>
                <w:sz w:val="20"/>
              </w:rPr>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end="295"/>
              <w:jc w:val="end"/>
              <w:rPr>
                <w:rFonts w:ascii="Arial" w:hAnsi="Arial" w:cs="Arial"/>
                <w:sz w:val="20"/>
              </w:rPr>
            </w:pPr>
            <w:r>
              <w:rPr>
                <w:rFonts w:cs="Arial" w:ascii="Arial" w:hAnsi="Arial"/>
                <w:sz w:val="20"/>
              </w:rPr>
            </w:r>
          </w:p>
        </w:tc>
        <w:tc>
          <w:tcPr>
            <w:tcW w:w="270" w:type="dxa"/>
            <w:gridSpan w:val="2"/>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240"/>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32"/>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58"/>
              <w:rPr>
                <w:rFonts w:ascii="Arial" w:hAnsi="Arial" w:cs="Arial"/>
                <w:sz w:val="20"/>
              </w:rPr>
            </w:pPr>
            <w:r>
              <w:rPr>
                <w:rFonts w:cs="Arial" w:ascii="Arial" w:hAnsi="Arial"/>
                <w:sz w:val="20"/>
              </w:rPr>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both"/>
              <w:rPr>
                <w:rFonts w:ascii="Arial" w:hAnsi="Arial" w:cs="Arial"/>
                <w:sz w:val="20"/>
              </w:rPr>
            </w:pPr>
            <w:r>
              <w:rPr>
                <w:rFonts w:cs="Arial" w:ascii="Arial" w:hAnsi="Arial"/>
                <w:sz w:val="20"/>
              </w:rPr>
              <w:t>Net  income (loss), $MM</w:t>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start="53" w:end="213"/>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left" w:pos="-900" w:leader="none"/>
                <w:tab w:val="decimal" w:pos="5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start="53" w:end="-3"/>
              <w:rPr>
                <w:rFonts w:ascii="Arial" w:hAnsi="Arial" w:cs="Arial"/>
                <w:sz w:val="20"/>
              </w:rPr>
            </w:pPr>
            <w:r>
              <w:rPr>
                <w:rFonts w:cs="Arial" w:ascii="Arial" w:hAnsi="Arial"/>
                <w:sz w:val="20"/>
              </w:rPr>
              <w:tab/>
              <w:t>6.1</w:t>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end="205"/>
              <w:jc w:val="end"/>
              <w:rPr>
                <w:rFonts w:ascii="Arial" w:hAnsi="Arial" w:cs="Arial"/>
                <w:sz w:val="20"/>
              </w:rPr>
            </w:pPr>
            <w:r>
              <w:rPr>
                <w:rFonts w:cs="Arial" w:ascii="Arial" w:hAnsi="Arial"/>
                <w:sz w:val="20"/>
              </w:rPr>
              <w:t>(3.2)</w:t>
            </w:r>
          </w:p>
        </w:tc>
        <w:tc>
          <w:tcPr>
            <w:tcW w:w="270" w:type="dxa"/>
            <w:gridSpan w:val="2"/>
            <w:tcBorders/>
          </w:tcPr>
          <w:p>
            <w:pPr>
              <w:pStyle w:val="Normal"/>
              <w:tabs>
                <w:tab w:val="clear" w:pos="720"/>
                <w:tab w:val="left" w:pos="-900" w:leader="none"/>
                <w:tab w:val="left" w:pos="-34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150"/>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762" w:leader="none"/>
                <w:tab w:val="right" w:pos="85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32"/>
              <w:rPr>
                <w:rFonts w:ascii="Arial" w:hAnsi="Arial" w:cs="Arial"/>
                <w:sz w:val="20"/>
              </w:rPr>
            </w:pPr>
            <w:r>
              <w:rPr>
                <w:rFonts w:cs="Arial" w:ascii="Arial" w:hAnsi="Arial"/>
                <w:sz w:val="20"/>
              </w:rPr>
              <w:tab/>
              <w:t>21.9</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821"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58"/>
              <w:rPr>
                <w:rFonts w:ascii="Arial" w:hAnsi="Arial" w:cs="Arial"/>
                <w:sz w:val="20"/>
              </w:rPr>
            </w:pPr>
            <w:r>
              <w:rPr>
                <w:rFonts w:cs="Arial" w:ascii="Arial" w:hAnsi="Arial"/>
                <w:sz w:val="20"/>
              </w:rPr>
              <w:tab/>
              <w:t>(10.0)</w:t>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98"/>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left" w:pos="-900" w:leader="none"/>
                <w:tab w:val="decimal" w:pos="5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3"/>
              <w:rPr>
                <w:rFonts w:ascii="Arial" w:hAnsi="Arial" w:cs="Arial"/>
                <w:sz w:val="20"/>
              </w:rPr>
            </w:pPr>
            <w:r>
              <w:rPr>
                <w:rFonts w:cs="Arial" w:ascii="Arial" w:hAnsi="Arial"/>
                <w:sz w:val="20"/>
              </w:rPr>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end="295"/>
              <w:jc w:val="end"/>
              <w:rPr>
                <w:rFonts w:ascii="Arial" w:hAnsi="Arial" w:cs="Arial"/>
                <w:sz w:val="20"/>
              </w:rPr>
            </w:pPr>
            <w:r>
              <w:rPr>
                <w:rFonts w:cs="Arial" w:ascii="Arial" w:hAnsi="Arial"/>
                <w:sz w:val="20"/>
              </w:rPr>
            </w:r>
          </w:p>
        </w:tc>
        <w:tc>
          <w:tcPr>
            <w:tcW w:w="270" w:type="dxa"/>
            <w:gridSpan w:val="2"/>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240"/>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32"/>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58"/>
              <w:rPr>
                <w:rFonts w:ascii="Arial" w:hAnsi="Arial" w:cs="Arial"/>
                <w:sz w:val="20"/>
              </w:rPr>
            </w:pPr>
            <w:r>
              <w:rPr>
                <w:rFonts w:cs="Arial" w:ascii="Arial" w:hAnsi="Arial"/>
                <w:sz w:val="20"/>
              </w:rPr>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both"/>
              <w:rPr>
                <w:rFonts w:ascii="Arial" w:hAnsi="Arial" w:cs="Arial"/>
                <w:sz w:val="20"/>
              </w:rPr>
            </w:pPr>
            <w:r>
              <w:rPr>
                <w:rFonts w:cs="Arial" w:ascii="Arial" w:hAnsi="Arial"/>
                <w:sz w:val="20"/>
              </w:rPr>
              <w:t>Production:</w:t>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98"/>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left" w:pos="-900" w:leader="none"/>
                <w:tab w:val="decimal" w:pos="5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3"/>
              <w:rPr>
                <w:rFonts w:ascii="Arial" w:hAnsi="Arial" w:cs="Arial"/>
                <w:sz w:val="20"/>
              </w:rPr>
            </w:pPr>
            <w:r>
              <w:rPr>
                <w:rFonts w:cs="Arial" w:ascii="Arial" w:hAnsi="Arial"/>
                <w:sz w:val="20"/>
              </w:rPr>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end="295"/>
              <w:jc w:val="end"/>
              <w:rPr>
                <w:rFonts w:ascii="Arial" w:hAnsi="Arial" w:cs="Arial"/>
                <w:sz w:val="20"/>
              </w:rPr>
            </w:pPr>
            <w:r>
              <w:rPr>
                <w:rFonts w:cs="Arial" w:ascii="Arial" w:hAnsi="Arial"/>
                <w:sz w:val="20"/>
              </w:rPr>
            </w:r>
          </w:p>
        </w:tc>
        <w:tc>
          <w:tcPr>
            <w:tcW w:w="270" w:type="dxa"/>
            <w:gridSpan w:val="2"/>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240"/>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32"/>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58"/>
              <w:rPr>
                <w:rFonts w:ascii="Arial" w:hAnsi="Arial" w:cs="Arial"/>
                <w:sz w:val="20"/>
              </w:rPr>
            </w:pPr>
            <w:r>
              <w:rPr>
                <w:rFonts w:cs="Arial" w:ascii="Arial" w:hAnsi="Arial"/>
                <w:sz w:val="20"/>
              </w:rPr>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both"/>
              <w:rPr>
                <w:rFonts w:ascii="Arial" w:hAnsi="Arial" w:cs="Arial"/>
                <w:sz w:val="20"/>
              </w:rPr>
            </w:pPr>
            <w:r>
              <w:rPr>
                <w:rFonts w:eastAsia="Arial" w:cs="Arial" w:ascii="Arial" w:hAnsi="Arial"/>
                <w:sz w:val="20"/>
              </w:rPr>
              <w:t xml:space="preserve">     </w:t>
            </w:r>
            <w:r>
              <w:rPr>
                <w:rFonts w:cs="Arial" w:ascii="Arial" w:hAnsi="Arial"/>
                <w:sz w:val="20"/>
              </w:rPr>
              <w:t>Oil and condensate (Mbbls)</w:t>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98"/>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left" w:pos="-900"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hanging="22" w:start="158" w:end="-3"/>
              <w:rPr>
                <w:rFonts w:ascii="Arial" w:hAnsi="Arial" w:cs="Arial"/>
                <w:sz w:val="20"/>
              </w:rPr>
            </w:pPr>
            <w:r>
              <w:rPr>
                <w:rFonts w:cs="Arial" w:ascii="Arial" w:hAnsi="Arial"/>
                <w:sz w:val="20"/>
              </w:rPr>
              <w:tab/>
              <w:tab/>
              <w:t>623</w:t>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end="295"/>
              <w:jc w:val="end"/>
              <w:rPr>
                <w:rFonts w:ascii="Arial" w:hAnsi="Arial" w:cs="Arial"/>
                <w:sz w:val="20"/>
              </w:rPr>
            </w:pPr>
            <w:r>
              <w:rPr>
                <w:rFonts w:cs="Arial" w:ascii="Arial" w:hAnsi="Arial"/>
                <w:sz w:val="20"/>
              </w:rPr>
              <w:t>128</w:t>
            </w:r>
          </w:p>
        </w:tc>
        <w:tc>
          <w:tcPr>
            <w:tcW w:w="270" w:type="dxa"/>
            <w:gridSpan w:val="2"/>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240"/>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32"/>
              <w:rPr>
                <w:rFonts w:ascii="Arial" w:hAnsi="Arial" w:cs="Arial"/>
                <w:sz w:val="20"/>
              </w:rPr>
            </w:pPr>
            <w:r>
              <w:rPr>
                <w:rFonts w:cs="Arial" w:ascii="Arial" w:hAnsi="Arial"/>
                <w:sz w:val="20"/>
              </w:rPr>
              <w:tab/>
              <w:t>1,762</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58"/>
              <w:rPr>
                <w:rFonts w:ascii="Arial" w:hAnsi="Arial" w:cs="Arial"/>
                <w:sz w:val="20"/>
              </w:rPr>
            </w:pPr>
            <w:r>
              <w:rPr>
                <w:rFonts w:cs="Arial" w:ascii="Arial" w:hAnsi="Arial"/>
                <w:sz w:val="20"/>
              </w:rPr>
              <w:tab/>
              <w:t>630</w:t>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both"/>
              <w:rPr>
                <w:rFonts w:ascii="Arial" w:hAnsi="Arial" w:cs="Arial"/>
                <w:sz w:val="20"/>
              </w:rPr>
            </w:pPr>
            <w:r>
              <w:rPr>
                <w:rFonts w:eastAsia="Arial" w:cs="Arial" w:ascii="Arial" w:hAnsi="Arial"/>
                <w:sz w:val="20"/>
              </w:rPr>
              <w:t xml:space="preserve">     </w:t>
            </w:r>
            <w:r>
              <w:rPr>
                <w:rFonts w:cs="Arial" w:ascii="Arial" w:hAnsi="Arial"/>
                <w:sz w:val="20"/>
              </w:rPr>
              <w:t>Natural Gas (Mmcf)</w:t>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98"/>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left" w:pos="-900"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hanging="22" w:start="158" w:end="-3"/>
              <w:rPr>
                <w:rFonts w:ascii="Arial" w:hAnsi="Arial" w:cs="Arial"/>
                <w:sz w:val="20"/>
              </w:rPr>
            </w:pPr>
            <w:r>
              <w:rPr>
                <w:rFonts w:cs="Arial" w:ascii="Arial" w:hAnsi="Arial"/>
                <w:sz w:val="20"/>
              </w:rPr>
              <w:tab/>
              <w:tab/>
              <w:t>4,141</w:t>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end="295"/>
              <w:jc w:val="end"/>
              <w:rPr>
                <w:rFonts w:ascii="Arial" w:hAnsi="Arial" w:cs="Arial"/>
                <w:sz w:val="20"/>
              </w:rPr>
            </w:pPr>
            <w:r>
              <w:rPr>
                <w:rFonts w:cs="Arial" w:ascii="Arial" w:hAnsi="Arial"/>
                <w:sz w:val="20"/>
              </w:rPr>
              <w:t>5,564</w:t>
            </w:r>
          </w:p>
        </w:tc>
        <w:tc>
          <w:tcPr>
            <w:tcW w:w="270" w:type="dxa"/>
            <w:gridSpan w:val="2"/>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240"/>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32"/>
              <w:rPr>
                <w:rFonts w:ascii="Arial" w:hAnsi="Arial" w:cs="Arial"/>
                <w:sz w:val="20"/>
              </w:rPr>
            </w:pPr>
            <w:r>
              <w:rPr>
                <w:rFonts w:cs="Arial" w:ascii="Arial" w:hAnsi="Arial"/>
                <w:sz w:val="20"/>
              </w:rPr>
              <w:tab/>
              <w:t>25,710</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58"/>
              <w:rPr>
                <w:rFonts w:ascii="Arial" w:hAnsi="Arial" w:cs="Arial"/>
                <w:sz w:val="20"/>
              </w:rPr>
            </w:pPr>
            <w:r>
              <w:rPr>
                <w:rFonts w:cs="Arial" w:ascii="Arial" w:hAnsi="Arial"/>
                <w:sz w:val="20"/>
              </w:rPr>
              <w:tab/>
              <w:t>21,123</w:t>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both"/>
              <w:rPr>
                <w:rFonts w:ascii="Arial" w:hAnsi="Arial" w:cs="Arial"/>
                <w:sz w:val="20"/>
              </w:rPr>
            </w:pPr>
            <w:r>
              <w:rPr>
                <w:rFonts w:eastAsia="Arial" w:cs="Arial" w:ascii="Arial" w:hAnsi="Arial"/>
                <w:sz w:val="20"/>
              </w:rPr>
              <w:t xml:space="preserve">     </w:t>
            </w:r>
            <w:r>
              <w:rPr>
                <w:rFonts w:cs="Arial" w:ascii="Arial" w:hAnsi="Arial"/>
                <w:sz w:val="20"/>
              </w:rPr>
              <w:t>Natural Gas equivalents (Mmcfe)</w:t>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98"/>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left" w:pos="-900"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hanging="22" w:start="158" w:end="-3"/>
              <w:rPr>
                <w:rFonts w:ascii="Arial" w:hAnsi="Arial" w:cs="Arial"/>
                <w:sz w:val="20"/>
              </w:rPr>
            </w:pPr>
            <w:r>
              <w:rPr>
                <w:rFonts w:cs="Arial" w:ascii="Arial" w:hAnsi="Arial"/>
                <w:sz w:val="20"/>
              </w:rPr>
              <w:tab/>
              <w:tab/>
              <w:t>7,877</w:t>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end="295"/>
              <w:jc w:val="end"/>
              <w:rPr>
                <w:rFonts w:ascii="Arial" w:hAnsi="Arial" w:cs="Arial"/>
                <w:sz w:val="20"/>
              </w:rPr>
            </w:pPr>
            <w:r>
              <w:rPr>
                <w:rFonts w:cs="Arial" w:ascii="Arial" w:hAnsi="Arial"/>
                <w:sz w:val="20"/>
              </w:rPr>
              <w:t>6,332</w:t>
            </w:r>
          </w:p>
        </w:tc>
        <w:tc>
          <w:tcPr>
            <w:tcW w:w="270" w:type="dxa"/>
            <w:gridSpan w:val="2"/>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240"/>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32"/>
              <w:rPr>
                <w:rFonts w:ascii="Arial" w:hAnsi="Arial" w:cs="Arial"/>
                <w:sz w:val="20"/>
              </w:rPr>
            </w:pPr>
            <w:r>
              <w:rPr>
                <w:rFonts w:cs="Arial" w:ascii="Arial" w:hAnsi="Arial"/>
                <w:sz w:val="20"/>
              </w:rPr>
              <w:tab/>
              <w:t>36,283</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58"/>
              <w:rPr>
                <w:rFonts w:ascii="Arial" w:hAnsi="Arial" w:cs="Arial"/>
                <w:sz w:val="20"/>
              </w:rPr>
            </w:pPr>
            <w:r>
              <w:rPr>
                <w:rFonts w:cs="Arial" w:ascii="Arial" w:hAnsi="Arial"/>
                <w:sz w:val="20"/>
              </w:rPr>
              <w:tab/>
              <w:t>24,903</w:t>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98"/>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left" w:pos="-900" w:leader="none"/>
                <w:tab w:val="decimal" w:pos="5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3"/>
              <w:rPr>
                <w:rFonts w:ascii="Arial" w:hAnsi="Arial" w:cs="Arial"/>
                <w:sz w:val="20"/>
              </w:rPr>
            </w:pPr>
            <w:r>
              <w:rPr>
                <w:rFonts w:cs="Arial" w:ascii="Arial" w:hAnsi="Arial"/>
                <w:sz w:val="20"/>
              </w:rPr>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end="295"/>
              <w:jc w:val="end"/>
              <w:rPr>
                <w:rFonts w:ascii="Arial" w:hAnsi="Arial" w:cs="Arial"/>
                <w:sz w:val="20"/>
              </w:rPr>
            </w:pPr>
            <w:r>
              <w:rPr>
                <w:rFonts w:cs="Arial" w:ascii="Arial" w:hAnsi="Arial"/>
                <w:sz w:val="20"/>
              </w:rPr>
            </w:r>
          </w:p>
        </w:tc>
        <w:tc>
          <w:tcPr>
            <w:tcW w:w="270" w:type="dxa"/>
            <w:gridSpan w:val="2"/>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240"/>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32"/>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58"/>
              <w:rPr>
                <w:rFonts w:ascii="Arial" w:hAnsi="Arial" w:cs="Arial"/>
                <w:sz w:val="20"/>
              </w:rPr>
            </w:pPr>
            <w:r>
              <w:rPr>
                <w:rFonts w:cs="Arial" w:ascii="Arial" w:hAnsi="Arial"/>
                <w:sz w:val="20"/>
              </w:rPr>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both"/>
              <w:rPr>
                <w:rFonts w:ascii="Arial" w:hAnsi="Arial" w:cs="Arial"/>
                <w:sz w:val="20"/>
              </w:rPr>
            </w:pPr>
            <w:r>
              <w:rPr>
                <w:rFonts w:cs="Arial" w:ascii="Arial" w:hAnsi="Arial"/>
                <w:sz w:val="20"/>
              </w:rPr>
              <w:t>Average realized sales prices:</w:t>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98"/>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left" w:pos="-900" w:leader="none"/>
                <w:tab w:val="decimal" w:pos="5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3"/>
              <w:rPr>
                <w:rFonts w:ascii="Arial" w:hAnsi="Arial" w:cs="Arial"/>
                <w:sz w:val="20"/>
              </w:rPr>
            </w:pPr>
            <w:r>
              <w:rPr>
                <w:rFonts w:cs="Arial" w:ascii="Arial" w:hAnsi="Arial"/>
                <w:sz w:val="20"/>
              </w:rPr>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end="295"/>
              <w:jc w:val="end"/>
              <w:rPr>
                <w:rFonts w:ascii="Arial" w:hAnsi="Arial" w:cs="Arial"/>
                <w:sz w:val="20"/>
              </w:rPr>
            </w:pPr>
            <w:r>
              <w:rPr>
                <w:rFonts w:cs="Arial" w:ascii="Arial" w:hAnsi="Arial"/>
                <w:sz w:val="20"/>
              </w:rPr>
            </w:r>
          </w:p>
        </w:tc>
        <w:tc>
          <w:tcPr>
            <w:tcW w:w="270" w:type="dxa"/>
            <w:gridSpan w:val="2"/>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240"/>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32"/>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58"/>
              <w:rPr>
                <w:rFonts w:ascii="Arial" w:hAnsi="Arial" w:cs="Arial"/>
                <w:sz w:val="20"/>
              </w:rPr>
            </w:pPr>
            <w:r>
              <w:rPr>
                <w:rFonts w:cs="Arial" w:ascii="Arial" w:hAnsi="Arial"/>
                <w:sz w:val="20"/>
              </w:rPr>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both"/>
              <w:rPr>
                <w:rFonts w:ascii="Arial" w:hAnsi="Arial" w:cs="Arial"/>
                <w:sz w:val="20"/>
              </w:rPr>
            </w:pPr>
            <w:r>
              <w:rPr>
                <w:rFonts w:eastAsia="Arial" w:cs="Arial" w:ascii="Arial" w:hAnsi="Arial"/>
                <w:sz w:val="20"/>
              </w:rPr>
              <w:t xml:space="preserve">     </w:t>
            </w:r>
            <w:r>
              <w:rPr>
                <w:rFonts w:cs="Arial" w:ascii="Arial" w:hAnsi="Arial"/>
                <w:sz w:val="20"/>
              </w:rPr>
              <w:t>Oil and condensate ($/Bbl)</w:t>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82"/>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left" w:pos="-900"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hanging="22" w:start="158" w:end="-3"/>
              <w:rPr>
                <w:rFonts w:ascii="Arial" w:hAnsi="Arial" w:cs="Arial"/>
                <w:sz w:val="20"/>
              </w:rPr>
            </w:pPr>
            <w:r>
              <w:rPr>
                <w:rFonts w:cs="Arial" w:ascii="Arial" w:hAnsi="Arial"/>
                <w:sz w:val="20"/>
              </w:rPr>
              <w:t>$22.53</w:t>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end="295"/>
              <w:jc w:val="end"/>
              <w:rPr>
                <w:rFonts w:ascii="Arial" w:hAnsi="Arial" w:cs="Arial"/>
                <w:sz w:val="20"/>
              </w:rPr>
            </w:pPr>
            <w:r>
              <w:rPr>
                <w:rFonts w:cs="Arial" w:ascii="Arial" w:hAnsi="Arial"/>
                <w:sz w:val="20"/>
              </w:rPr>
              <w:t>$12.30</w:t>
            </w:r>
          </w:p>
        </w:tc>
        <w:tc>
          <w:tcPr>
            <w:tcW w:w="270" w:type="dxa"/>
            <w:gridSpan w:val="2"/>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240"/>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32"/>
              <w:rPr>
                <w:rFonts w:ascii="Arial" w:hAnsi="Arial" w:cs="Arial"/>
                <w:sz w:val="20"/>
              </w:rPr>
            </w:pPr>
            <w:r>
              <w:rPr>
                <w:rFonts w:cs="Arial" w:ascii="Arial" w:hAnsi="Arial"/>
                <w:sz w:val="20"/>
              </w:rPr>
              <w:tab/>
              <w:t>$21.54</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58"/>
              <w:rPr>
                <w:rFonts w:ascii="Arial" w:hAnsi="Arial" w:cs="Arial"/>
                <w:sz w:val="20"/>
              </w:rPr>
            </w:pPr>
            <w:r>
              <w:rPr>
                <w:rFonts w:cs="Arial" w:ascii="Arial" w:hAnsi="Arial"/>
                <w:sz w:val="20"/>
              </w:rPr>
              <w:tab/>
              <w:t>$14.11</w:t>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both"/>
              <w:rPr>
                <w:rFonts w:ascii="Arial" w:hAnsi="Arial" w:cs="Arial"/>
                <w:sz w:val="20"/>
              </w:rPr>
            </w:pPr>
            <w:r>
              <w:rPr>
                <w:rFonts w:eastAsia="Arial" w:cs="Arial" w:ascii="Arial" w:hAnsi="Arial"/>
                <w:sz w:val="20"/>
              </w:rPr>
              <w:t xml:space="preserve">     </w:t>
            </w:r>
            <w:r>
              <w:rPr>
                <w:rFonts w:cs="Arial" w:ascii="Arial" w:hAnsi="Arial"/>
                <w:sz w:val="20"/>
              </w:rPr>
              <w:t>Natural Gas ($/Mcf)</w:t>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98"/>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left" w:pos="-900"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start="53" w:end="-3"/>
              <w:rPr>
                <w:rFonts w:ascii="Arial" w:hAnsi="Arial" w:cs="Arial"/>
                <w:sz w:val="20"/>
              </w:rPr>
            </w:pPr>
            <w:r>
              <w:rPr>
                <w:rFonts w:cs="Arial" w:ascii="Arial" w:hAnsi="Arial"/>
                <w:sz w:val="20"/>
              </w:rPr>
              <w:tab/>
              <w:t>4.38</w:t>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end="295"/>
              <w:jc w:val="end"/>
              <w:rPr>
                <w:rFonts w:ascii="Arial" w:hAnsi="Arial" w:cs="Arial"/>
                <w:sz w:val="20"/>
              </w:rPr>
            </w:pPr>
            <w:r>
              <w:rPr>
                <w:rFonts w:cs="Arial" w:ascii="Arial" w:hAnsi="Arial"/>
                <w:sz w:val="20"/>
              </w:rPr>
              <w:t>2.23</w:t>
            </w:r>
          </w:p>
        </w:tc>
        <w:tc>
          <w:tcPr>
            <w:tcW w:w="270" w:type="dxa"/>
            <w:gridSpan w:val="2"/>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240"/>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32"/>
              <w:rPr>
                <w:rFonts w:ascii="Arial" w:hAnsi="Arial" w:cs="Arial"/>
                <w:sz w:val="20"/>
              </w:rPr>
            </w:pPr>
            <w:r>
              <w:rPr>
                <w:rFonts w:cs="Arial" w:ascii="Arial" w:hAnsi="Arial"/>
                <w:sz w:val="20"/>
              </w:rPr>
              <w:tab/>
              <w:t>3.24</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58"/>
              <w:rPr>
                <w:rFonts w:ascii="Arial" w:hAnsi="Arial" w:cs="Arial"/>
                <w:sz w:val="20"/>
              </w:rPr>
            </w:pPr>
            <w:r>
              <w:rPr>
                <w:rFonts w:cs="Arial" w:ascii="Arial" w:hAnsi="Arial"/>
                <w:sz w:val="20"/>
              </w:rPr>
              <w:tab/>
              <w:t>2.16</w:t>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both"/>
              <w:rPr>
                <w:rFonts w:ascii="Arial" w:hAnsi="Arial" w:cs="Arial"/>
                <w:sz w:val="20"/>
              </w:rPr>
            </w:pPr>
            <w:r>
              <w:rPr>
                <w:rFonts w:eastAsia="Arial" w:cs="Arial" w:ascii="Arial" w:hAnsi="Arial"/>
                <w:sz w:val="20"/>
              </w:rPr>
              <w:t xml:space="preserve">     </w:t>
            </w:r>
            <w:r>
              <w:rPr>
                <w:rFonts w:cs="Arial" w:ascii="Arial" w:hAnsi="Arial"/>
                <w:sz w:val="20"/>
              </w:rPr>
              <w:t>Natural Gas equivalents ($/Mcfe)</w:t>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98"/>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left" w:pos="-900"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hanging="22" w:start="158" w:end="-3"/>
              <w:rPr>
                <w:rFonts w:ascii="Arial" w:hAnsi="Arial" w:cs="Arial"/>
                <w:sz w:val="20"/>
              </w:rPr>
            </w:pPr>
            <w:r>
              <w:rPr>
                <w:rFonts w:cs="Arial" w:ascii="Arial" w:hAnsi="Arial"/>
                <w:sz w:val="20"/>
              </w:rPr>
              <w:tab/>
              <w:tab/>
              <w:t>4.09</w:t>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end="295"/>
              <w:jc w:val="end"/>
              <w:rPr>
                <w:rFonts w:ascii="Arial" w:hAnsi="Arial" w:cs="Arial"/>
                <w:sz w:val="20"/>
              </w:rPr>
            </w:pPr>
            <w:r>
              <w:rPr>
                <w:rFonts w:cs="Arial" w:ascii="Arial" w:hAnsi="Arial"/>
                <w:sz w:val="20"/>
              </w:rPr>
              <w:t>2.20</w:t>
            </w:r>
          </w:p>
        </w:tc>
        <w:tc>
          <w:tcPr>
            <w:tcW w:w="270" w:type="dxa"/>
            <w:gridSpan w:val="2"/>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240"/>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32"/>
              <w:rPr>
                <w:rFonts w:ascii="Arial" w:hAnsi="Arial" w:cs="Arial"/>
                <w:sz w:val="20"/>
              </w:rPr>
            </w:pPr>
            <w:r>
              <w:rPr>
                <w:rFonts w:cs="Arial" w:ascii="Arial" w:hAnsi="Arial"/>
                <w:sz w:val="20"/>
              </w:rPr>
              <w:tab/>
              <w:t>3.34</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58"/>
              <w:rPr>
                <w:rFonts w:ascii="Arial" w:hAnsi="Arial" w:cs="Arial"/>
                <w:sz w:val="20"/>
              </w:rPr>
            </w:pPr>
            <w:r>
              <w:rPr>
                <w:rFonts w:cs="Arial" w:ascii="Arial" w:hAnsi="Arial"/>
                <w:sz w:val="20"/>
              </w:rPr>
              <w:tab/>
              <w:t>2.19</w:t>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both"/>
              <w:rPr>
                <w:rFonts w:ascii="Arial" w:hAnsi="Arial" w:eastAsia="Arial" w:cs="Arial"/>
                <w:sz w:val="20"/>
              </w:rPr>
            </w:pPr>
            <w:r>
              <w:rPr>
                <w:rFonts w:eastAsia="Arial" w:cs="Arial" w:ascii="Arial" w:hAnsi="Arial"/>
                <w:sz w:val="20"/>
              </w:rPr>
              <w:t xml:space="preserve">    </w:t>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98"/>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left" w:pos="-900" w:leader="none"/>
                <w:tab w:val="decimal" w:pos="5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3"/>
              <w:rPr>
                <w:rFonts w:ascii="Arial" w:hAnsi="Arial" w:cs="Arial"/>
                <w:sz w:val="20"/>
              </w:rPr>
            </w:pPr>
            <w:r>
              <w:rPr>
                <w:rFonts w:cs="Arial" w:ascii="Arial" w:hAnsi="Arial"/>
                <w:sz w:val="20"/>
              </w:rPr>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end="295"/>
              <w:jc w:val="end"/>
              <w:rPr>
                <w:rFonts w:ascii="Arial" w:hAnsi="Arial" w:cs="Arial"/>
                <w:sz w:val="20"/>
              </w:rPr>
            </w:pPr>
            <w:r>
              <w:rPr>
                <w:rFonts w:cs="Arial" w:ascii="Arial" w:hAnsi="Arial"/>
                <w:sz w:val="20"/>
              </w:rPr>
            </w:r>
          </w:p>
        </w:tc>
        <w:tc>
          <w:tcPr>
            <w:tcW w:w="270" w:type="dxa"/>
            <w:gridSpan w:val="2"/>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240"/>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32"/>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58"/>
              <w:rPr>
                <w:rFonts w:ascii="Arial" w:hAnsi="Arial" w:cs="Arial"/>
                <w:sz w:val="20"/>
              </w:rPr>
            </w:pPr>
            <w:r>
              <w:rPr>
                <w:rFonts w:cs="Arial" w:ascii="Arial" w:hAnsi="Arial"/>
                <w:sz w:val="20"/>
              </w:rPr>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rHeight w:val="281" w:hRule="atLeast"/>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both"/>
              <w:rPr/>
            </w:pPr>
            <w:r>
              <w:rPr>
                <w:rFonts w:cs="Arial" w:ascii="Arial" w:hAnsi="Arial"/>
                <w:sz w:val="20"/>
              </w:rPr>
              <w:t>Cash Margin</w:t>
            </w:r>
            <w:r>
              <w:rPr>
                <w:rFonts w:cs="Arial" w:ascii="Arial" w:hAnsi="Arial"/>
                <w:sz w:val="20"/>
                <w:vertAlign w:val="superscript"/>
              </w:rPr>
              <w:t>(b)</w:t>
            </w:r>
            <w:r>
              <w:rPr>
                <w:rFonts w:cs="Arial" w:ascii="Arial" w:hAnsi="Arial"/>
                <w:sz w:val="20"/>
              </w:rPr>
              <w:t>, per Mcfe:</w:t>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98"/>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left" w:pos="-900" w:leader="none"/>
                <w:tab w:val="decimal" w:pos="5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3"/>
              <w:rPr>
                <w:rFonts w:ascii="Arial" w:hAnsi="Arial" w:cs="Arial"/>
                <w:sz w:val="20"/>
              </w:rPr>
            </w:pPr>
            <w:r>
              <w:rPr>
                <w:rFonts w:cs="Arial" w:ascii="Arial" w:hAnsi="Arial"/>
                <w:sz w:val="20"/>
              </w:rPr>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end="295"/>
              <w:jc w:val="end"/>
              <w:rPr>
                <w:rFonts w:ascii="Arial" w:hAnsi="Arial" w:cs="Arial"/>
                <w:sz w:val="20"/>
              </w:rPr>
            </w:pPr>
            <w:r>
              <w:rPr>
                <w:rFonts w:cs="Arial" w:ascii="Arial" w:hAnsi="Arial"/>
                <w:sz w:val="20"/>
              </w:rPr>
            </w:r>
          </w:p>
        </w:tc>
        <w:tc>
          <w:tcPr>
            <w:tcW w:w="270" w:type="dxa"/>
            <w:gridSpan w:val="2"/>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240"/>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32"/>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58"/>
              <w:rPr>
                <w:rFonts w:ascii="Arial" w:hAnsi="Arial" w:cs="Arial"/>
                <w:sz w:val="20"/>
              </w:rPr>
            </w:pPr>
            <w:r>
              <w:rPr>
                <w:rFonts w:cs="Arial" w:ascii="Arial" w:hAnsi="Arial"/>
                <w:sz w:val="20"/>
              </w:rPr>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eastAsia="Arial" w:cs="Arial" w:ascii="Arial" w:hAnsi="Arial"/>
                <w:sz w:val="20"/>
              </w:rPr>
              <w:t xml:space="preserve">     </w:t>
            </w:r>
            <w:r>
              <w:rPr>
                <w:rFonts w:cs="Arial" w:ascii="Arial" w:hAnsi="Arial"/>
                <w:sz w:val="20"/>
              </w:rPr>
              <w:t>Revenue (pre-hedge)</w:t>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98"/>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left" w:pos="-900"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hanging="22" w:start="158" w:end="-3"/>
              <w:rPr>
                <w:rFonts w:ascii="Arial" w:hAnsi="Arial" w:cs="Arial"/>
                <w:sz w:val="20"/>
              </w:rPr>
            </w:pPr>
            <w:r>
              <w:rPr>
                <w:rFonts w:cs="Arial" w:ascii="Arial" w:hAnsi="Arial"/>
                <w:sz w:val="20"/>
              </w:rPr>
              <w:tab/>
              <w:tab/>
              <w:t>$5.59</w:t>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end="295"/>
              <w:jc w:val="end"/>
              <w:rPr>
                <w:rFonts w:ascii="Arial" w:hAnsi="Arial" w:cs="Arial"/>
                <w:sz w:val="20"/>
              </w:rPr>
            </w:pPr>
            <w:r>
              <w:rPr>
                <w:rFonts w:cs="Arial" w:ascii="Arial" w:hAnsi="Arial"/>
                <w:sz w:val="20"/>
              </w:rPr>
              <w:t>$2.90</w:t>
            </w:r>
          </w:p>
        </w:tc>
        <w:tc>
          <w:tcPr>
            <w:tcW w:w="270" w:type="dxa"/>
            <w:gridSpan w:val="2"/>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240"/>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32"/>
              <w:rPr>
                <w:rFonts w:ascii="Arial" w:hAnsi="Arial" w:cs="Arial"/>
                <w:sz w:val="20"/>
              </w:rPr>
            </w:pPr>
            <w:r>
              <w:rPr>
                <w:rFonts w:cs="Arial" w:ascii="Arial" w:hAnsi="Arial"/>
                <w:sz w:val="20"/>
              </w:rPr>
              <w:tab/>
              <w:t>$4.32</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58"/>
              <w:rPr>
                <w:rFonts w:ascii="Arial" w:hAnsi="Arial" w:cs="Arial"/>
                <w:sz w:val="20"/>
              </w:rPr>
            </w:pPr>
            <w:r>
              <w:rPr>
                <w:rFonts w:cs="Arial" w:ascii="Arial" w:hAnsi="Arial"/>
                <w:sz w:val="20"/>
              </w:rPr>
              <w:tab/>
              <w:t>$2.54</w:t>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eastAsia="Arial" w:cs="Arial" w:ascii="Arial" w:hAnsi="Arial"/>
                <w:sz w:val="20"/>
              </w:rPr>
              <w:t xml:space="preserve">     </w:t>
            </w:r>
            <w:r>
              <w:rPr>
                <w:rFonts w:cs="Arial" w:ascii="Arial" w:hAnsi="Arial"/>
                <w:sz w:val="20"/>
              </w:rPr>
              <w:t>Hedging impact</w:t>
            </w:r>
          </w:p>
        </w:tc>
        <w:tc>
          <w:tcPr>
            <w:tcW w:w="360" w:type="dxa"/>
            <w:tcBorders/>
          </w:tcPr>
          <w:p>
            <w:pPr>
              <w:pStyle w:val="Normal"/>
              <w:tabs>
                <w:tab w:val="clear" w:pos="720"/>
                <w:tab w:val="left" w:pos="-900" w:leader="none"/>
                <w:tab w:val="left" w:pos="-34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end="328"/>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right" w:pos="821" w:leader="none"/>
                <w:tab w:val="right" w:pos="85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end="-3"/>
              <w:rPr>
                <w:rFonts w:ascii="Arial" w:hAnsi="Arial" w:cs="Arial"/>
                <w:sz w:val="20"/>
              </w:rPr>
            </w:pPr>
            <w:r>
              <w:rPr>
                <w:rFonts w:cs="Arial" w:ascii="Arial" w:hAnsi="Arial"/>
                <w:sz w:val="20"/>
              </w:rPr>
              <w:tab/>
              <w:t>(1.50)</w:t>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right" w:pos="908"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end="-12"/>
              <w:rPr>
                <w:rFonts w:ascii="Arial" w:hAnsi="Arial" w:cs="Arial"/>
                <w:sz w:val="20"/>
              </w:rPr>
            </w:pPr>
            <w:r>
              <w:rPr>
                <w:rFonts w:cs="Arial" w:ascii="Arial" w:hAnsi="Arial"/>
                <w:sz w:val="20"/>
              </w:rPr>
              <w:tab/>
              <w:t>(0.70)</w:t>
            </w:r>
          </w:p>
        </w:tc>
        <w:tc>
          <w:tcPr>
            <w:tcW w:w="270" w:type="dxa"/>
            <w:gridSpan w:val="2"/>
            <w:tcBorders/>
          </w:tcPr>
          <w:p>
            <w:pPr>
              <w:pStyle w:val="Normal"/>
              <w:tabs>
                <w:tab w:val="clear" w:pos="720"/>
                <w:tab w:val="left" w:pos="-900" w:leader="none"/>
                <w:tab w:val="left" w:pos="-34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150"/>
              <w:jc w:val="center"/>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821" w:leader="none"/>
                <w:tab w:val="right" w:pos="85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32"/>
              <w:rPr>
                <w:rFonts w:ascii="Arial" w:hAnsi="Arial" w:cs="Arial"/>
                <w:sz w:val="20"/>
              </w:rPr>
            </w:pPr>
            <w:r>
              <w:rPr>
                <w:rFonts w:cs="Arial" w:ascii="Arial" w:hAnsi="Arial"/>
                <w:sz w:val="20"/>
              </w:rPr>
              <w:tab/>
              <w:t>(0.98)</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821"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58"/>
              <w:rPr>
                <w:rFonts w:ascii="Arial" w:hAnsi="Arial" w:cs="Arial"/>
                <w:sz w:val="20"/>
              </w:rPr>
            </w:pPr>
            <w:r>
              <w:rPr>
                <w:rFonts w:cs="Arial" w:ascii="Arial" w:hAnsi="Arial"/>
                <w:sz w:val="20"/>
              </w:rPr>
              <w:tab/>
              <w:t>(0.35)</w:t>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eastAsia="Arial" w:cs="Arial" w:ascii="Arial" w:hAnsi="Arial"/>
                <w:sz w:val="20"/>
              </w:rPr>
              <w:t xml:space="preserve">     </w:t>
            </w:r>
            <w:r>
              <w:rPr>
                <w:rFonts w:cs="Arial" w:ascii="Arial" w:hAnsi="Arial"/>
                <w:sz w:val="20"/>
              </w:rPr>
              <w:t>Lease operating expenses</w:t>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38"/>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right" w:pos="821" w:leader="none"/>
                <w:tab w:val="right" w:pos="85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end="-3"/>
              <w:rPr>
                <w:rFonts w:ascii="Arial" w:hAnsi="Arial" w:cs="Arial"/>
                <w:sz w:val="20"/>
              </w:rPr>
            </w:pPr>
            <w:r>
              <w:rPr>
                <w:rFonts w:cs="Arial" w:ascii="Arial" w:hAnsi="Arial"/>
                <w:sz w:val="20"/>
              </w:rPr>
              <w:tab/>
              <w:t>(0.55)</w:t>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right" w:pos="908"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end="205"/>
              <w:rPr>
                <w:rFonts w:ascii="Arial" w:hAnsi="Arial" w:cs="Arial"/>
                <w:sz w:val="20"/>
              </w:rPr>
            </w:pPr>
            <w:r>
              <w:rPr>
                <w:rFonts w:cs="Arial" w:ascii="Arial" w:hAnsi="Arial"/>
                <w:sz w:val="20"/>
              </w:rPr>
              <w:tab/>
              <w:t>(0.49)</w:t>
            </w:r>
          </w:p>
        </w:tc>
        <w:tc>
          <w:tcPr>
            <w:tcW w:w="270" w:type="dxa"/>
            <w:gridSpan w:val="2"/>
            <w:tcBorders/>
          </w:tcPr>
          <w:p>
            <w:pPr>
              <w:pStyle w:val="Normal"/>
              <w:tabs>
                <w:tab w:val="clear" w:pos="720"/>
                <w:tab w:val="left" w:pos="-900" w:leader="none"/>
                <w:tab w:val="left" w:pos="-34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150"/>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821" w:leader="none"/>
                <w:tab w:val="right" w:pos="85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32"/>
              <w:rPr>
                <w:rFonts w:ascii="Arial" w:hAnsi="Arial" w:cs="Arial"/>
                <w:sz w:val="20"/>
              </w:rPr>
            </w:pPr>
            <w:r>
              <w:rPr>
                <w:rFonts w:cs="Arial" w:ascii="Arial" w:hAnsi="Arial"/>
                <w:sz w:val="20"/>
              </w:rPr>
              <w:tab/>
              <w:t>(0.47)</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821"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58"/>
              <w:rPr>
                <w:rFonts w:ascii="Arial" w:hAnsi="Arial" w:cs="Arial"/>
                <w:sz w:val="20"/>
              </w:rPr>
            </w:pPr>
            <w:r>
              <w:rPr>
                <w:rFonts w:cs="Arial" w:ascii="Arial" w:hAnsi="Arial"/>
                <w:sz w:val="20"/>
              </w:rPr>
              <w:tab/>
              <w:t>(0.46)</w:t>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21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 xml:space="preserve"> Transportation</w:t>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38"/>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right" w:pos="821" w:leader="none"/>
                <w:tab w:val="right" w:pos="85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end="-3"/>
              <w:rPr>
                <w:rFonts w:ascii="Arial" w:hAnsi="Arial" w:cs="Arial"/>
                <w:sz w:val="20"/>
              </w:rPr>
            </w:pPr>
            <w:r>
              <w:rPr>
                <w:rFonts w:cs="Arial" w:ascii="Arial" w:hAnsi="Arial"/>
                <w:sz w:val="20"/>
              </w:rPr>
              <w:tab/>
              <w:t>(0.32)</w:t>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right" w:pos="908"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(0.09)</w:t>
            </w:r>
          </w:p>
        </w:tc>
        <w:tc>
          <w:tcPr>
            <w:tcW w:w="270" w:type="dxa"/>
            <w:gridSpan w:val="2"/>
            <w:tcBorders/>
          </w:tcPr>
          <w:p>
            <w:pPr>
              <w:pStyle w:val="Normal"/>
              <w:tabs>
                <w:tab w:val="clear" w:pos="720"/>
                <w:tab w:val="left" w:pos="-900" w:leader="none"/>
                <w:tab w:val="left" w:pos="-34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150"/>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821" w:leader="none"/>
                <w:tab w:val="right" w:pos="85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32"/>
              <w:rPr>
                <w:rFonts w:ascii="Arial" w:hAnsi="Arial" w:cs="Arial"/>
                <w:sz w:val="20"/>
              </w:rPr>
            </w:pPr>
            <w:r>
              <w:rPr>
                <w:rFonts w:cs="Arial" w:ascii="Arial" w:hAnsi="Arial"/>
                <w:sz w:val="20"/>
              </w:rPr>
              <w:tab/>
              <w:t>(0.22)</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821"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58"/>
              <w:rPr>
                <w:rFonts w:ascii="Arial" w:hAnsi="Arial" w:cs="Arial"/>
                <w:sz w:val="20"/>
              </w:rPr>
            </w:pPr>
            <w:r>
              <w:rPr>
                <w:rFonts w:cs="Arial" w:ascii="Arial" w:hAnsi="Arial"/>
                <w:sz w:val="20"/>
              </w:rPr>
              <w:tab/>
              <w:t>(0.08)</w:t>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eastAsia="Arial" w:cs="Arial" w:ascii="Arial" w:hAnsi="Arial"/>
                <w:sz w:val="20"/>
              </w:rPr>
              <w:t xml:space="preserve">     </w:t>
            </w:r>
            <w:r>
              <w:rPr>
                <w:rFonts w:cs="Arial" w:ascii="Arial" w:hAnsi="Arial"/>
                <w:sz w:val="20"/>
              </w:rPr>
              <w:t>Gross G&amp;A costs</w:t>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38"/>
              <w:jc w:val="end"/>
              <w:rPr>
                <w:rFonts w:ascii="Arial" w:hAnsi="Arial" w:cs="Arial"/>
                <w:sz w:val="20"/>
              </w:rPr>
            </w:pPr>
            <w:r>
              <w:rPr>
                <w:rFonts w:cs="Arial" w:ascii="Arial" w:hAnsi="Arial"/>
                <w:sz w:val="20"/>
              </w:rPr>
            </w:r>
          </w:p>
        </w:tc>
        <w:tc>
          <w:tcPr>
            <w:tcW w:w="1089" w:type="dxa"/>
            <w:gridSpan w:val="2"/>
            <w:tcBorders>
              <w:bottom w:val="single" w:sz="4" w:space="0" w:color="000000"/>
            </w:tcBorders>
          </w:tcPr>
          <w:p>
            <w:pPr>
              <w:pStyle w:val="Normal"/>
              <w:tabs>
                <w:tab w:val="clear" w:pos="720"/>
                <w:tab w:val="right" w:pos="821" w:leader="none"/>
                <w:tab w:val="right" w:pos="85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end="-3"/>
              <w:rPr>
                <w:rFonts w:ascii="Arial" w:hAnsi="Arial" w:cs="Arial"/>
                <w:sz w:val="20"/>
              </w:rPr>
            </w:pPr>
            <w:r>
              <w:rPr>
                <w:rFonts w:cs="Arial" w:ascii="Arial" w:hAnsi="Arial"/>
                <w:sz w:val="20"/>
              </w:rPr>
              <w:tab/>
              <w:t>(0.52)</w:t>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right" w:pos="908"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(0.48)</w:t>
            </w:r>
          </w:p>
        </w:tc>
        <w:tc>
          <w:tcPr>
            <w:tcW w:w="270" w:type="dxa"/>
            <w:gridSpan w:val="2"/>
            <w:tcBorders/>
          </w:tcPr>
          <w:p>
            <w:pPr>
              <w:pStyle w:val="Normal"/>
              <w:tabs>
                <w:tab w:val="clear" w:pos="720"/>
                <w:tab w:val="left" w:pos="-900" w:leader="none"/>
                <w:tab w:val="left" w:pos="-34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150"/>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821" w:leader="none"/>
                <w:tab w:val="right" w:pos="85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32"/>
              <w:rPr>
                <w:rFonts w:ascii="Arial" w:hAnsi="Arial" w:cs="Arial"/>
                <w:sz w:val="20"/>
              </w:rPr>
            </w:pPr>
            <w:r>
              <w:rPr>
                <w:rFonts w:cs="Arial" w:ascii="Arial" w:hAnsi="Arial"/>
                <w:sz w:val="20"/>
              </w:rPr>
              <w:tab/>
              <w:t>(0.39)</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821"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58"/>
              <w:rPr>
                <w:rFonts w:ascii="Arial" w:hAnsi="Arial" w:cs="Arial"/>
                <w:sz w:val="20"/>
              </w:rPr>
            </w:pPr>
            <w:r>
              <w:rPr>
                <w:rFonts w:cs="Arial" w:ascii="Arial" w:hAnsi="Arial"/>
                <w:sz w:val="20"/>
              </w:rPr>
              <w:tab/>
              <w:t>(0.47)</w:t>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eastAsia="Arial" w:cs="Arial" w:ascii="Arial" w:hAnsi="Arial"/>
                <w:sz w:val="20"/>
              </w:rPr>
              <w:t xml:space="preserve">         </w:t>
            </w:r>
            <w:r>
              <w:rPr>
                <w:rFonts w:cs="Arial" w:ascii="Arial" w:hAnsi="Arial"/>
                <w:sz w:val="20"/>
              </w:rPr>
              <w:t>Cash Margin</w:t>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98"/>
              <w:jc w:val="end"/>
              <w:rPr>
                <w:rFonts w:ascii="Arial" w:hAnsi="Arial" w:cs="Arial"/>
                <w:sz w:val="20"/>
              </w:rPr>
            </w:pPr>
            <w:r>
              <w:rPr>
                <w:rFonts w:cs="Arial" w:ascii="Arial" w:hAnsi="Arial"/>
                <w:sz w:val="20"/>
              </w:rPr>
            </w:r>
          </w:p>
        </w:tc>
        <w:tc>
          <w:tcPr>
            <w:tcW w:w="1089" w:type="dxa"/>
            <w:gridSpan w:val="2"/>
            <w:tcBorders>
              <w:bottom w:val="double" w:sz="4" w:space="0" w:color="000000"/>
            </w:tcBorders>
          </w:tcPr>
          <w:p>
            <w:pPr>
              <w:pStyle w:val="Normal"/>
              <w:tabs>
                <w:tab w:val="clear" w:pos="720"/>
                <w:tab w:val="left" w:pos="-900"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hanging="22" w:start="158" w:end="-3"/>
              <w:rPr>
                <w:rFonts w:ascii="Arial" w:hAnsi="Arial" w:cs="Arial"/>
                <w:sz w:val="20"/>
              </w:rPr>
            </w:pPr>
            <w:r>
              <w:rPr>
                <w:rFonts w:cs="Arial" w:ascii="Arial" w:hAnsi="Arial"/>
                <w:sz w:val="20"/>
              </w:rPr>
              <w:tab/>
              <w:tab/>
              <w:t>$2.70</w:t>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op w:val="single" w:sz="4" w:space="0" w:color="000000"/>
              <w:bottom w:val="double" w:sz="4" w:space="0" w:color="000000"/>
            </w:tcBorders>
          </w:tcPr>
          <w:p>
            <w:pPr>
              <w:pStyle w:val="Normal"/>
              <w:tabs>
                <w:tab w:val="clear" w:pos="720"/>
                <w:tab w:val="left" w:pos="-900" w:leader="none"/>
                <w:tab w:val="left" w:pos="-34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end="291"/>
              <w:jc w:val="end"/>
              <w:rPr>
                <w:rFonts w:ascii="Arial" w:hAnsi="Arial" w:cs="Arial"/>
                <w:sz w:val="20"/>
              </w:rPr>
            </w:pPr>
            <w:r>
              <w:rPr>
                <w:rFonts w:cs="Arial" w:ascii="Arial" w:hAnsi="Arial"/>
                <w:sz w:val="20"/>
              </w:rPr>
              <w:t>$1.14</w:t>
            </w:r>
          </w:p>
        </w:tc>
        <w:tc>
          <w:tcPr>
            <w:tcW w:w="270" w:type="dxa"/>
            <w:gridSpan w:val="2"/>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240"/>
              <w:jc w:val="end"/>
              <w:rPr>
                <w:rFonts w:ascii="Arial" w:hAnsi="Arial" w:cs="Arial"/>
                <w:sz w:val="20"/>
              </w:rPr>
            </w:pPr>
            <w:r>
              <w:rPr>
                <w:rFonts w:cs="Arial" w:ascii="Arial" w:hAnsi="Arial"/>
                <w:sz w:val="20"/>
              </w:rPr>
            </w:r>
          </w:p>
        </w:tc>
        <w:tc>
          <w:tcPr>
            <w:tcW w:w="1124" w:type="dxa"/>
            <w:gridSpan w:val="2"/>
            <w:tcBorders>
              <w:top w:val="single" w:sz="4" w:space="0" w:color="000000"/>
              <w:bottom w:val="double" w:sz="4" w:space="0" w:color="000000"/>
            </w:tcBorders>
          </w:tcPr>
          <w:p>
            <w:pPr>
              <w:pStyle w:val="Normal"/>
              <w:tabs>
                <w:tab w:val="clear" w:pos="720"/>
                <w:tab w:val="left" w:pos="-900" w:leader="none"/>
                <w:tab w:val="left" w:pos="-344"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32"/>
              <w:rPr>
                <w:rFonts w:ascii="Arial" w:hAnsi="Arial" w:cs="Arial"/>
                <w:sz w:val="20"/>
              </w:rPr>
            </w:pPr>
            <w:r>
              <w:rPr>
                <w:rFonts w:cs="Arial" w:ascii="Arial" w:hAnsi="Arial"/>
                <w:sz w:val="20"/>
              </w:rPr>
              <w:tab/>
              <w:t>$2.26</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op w:val="single" w:sz="4" w:space="0" w:color="000000"/>
              <w:bottom w:val="double" w:sz="4" w:space="0" w:color="000000"/>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58"/>
              <w:rPr>
                <w:rFonts w:ascii="Arial" w:hAnsi="Arial" w:cs="Arial"/>
                <w:sz w:val="20"/>
              </w:rPr>
            </w:pPr>
            <w:r>
              <w:rPr>
                <w:rFonts w:cs="Arial" w:ascii="Arial" w:hAnsi="Arial"/>
                <w:sz w:val="20"/>
              </w:rPr>
              <w:tab/>
              <w:t>$1.18</w:t>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98"/>
              <w:jc w:val="end"/>
              <w:rPr>
                <w:rFonts w:ascii="Arial" w:hAnsi="Arial" w:cs="Arial"/>
                <w:smallCaps/>
                <w:sz w:val="20"/>
              </w:rPr>
            </w:pPr>
            <w:r>
              <w:rPr>
                <w:rFonts w:cs="Arial" w:ascii="Arial" w:hAnsi="Arial"/>
                <w:smallCaps/>
                <w:sz w:val="20"/>
              </w:rPr>
            </w:r>
          </w:p>
        </w:tc>
        <w:tc>
          <w:tcPr>
            <w:tcW w:w="1089" w:type="dxa"/>
            <w:gridSpan w:val="2"/>
            <w:tcBorders/>
          </w:tcPr>
          <w:p>
            <w:pPr>
              <w:pStyle w:val="Normal"/>
              <w:tabs>
                <w:tab w:val="clear" w:pos="720"/>
                <w:tab w:val="left" w:pos="-900" w:leader="none"/>
                <w:tab w:val="decimal" w:pos="5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3"/>
              <w:rPr>
                <w:rFonts w:ascii="Arial" w:hAnsi="Arial" w:cs="Arial"/>
                <w:smallCaps/>
                <w:sz w:val="20"/>
              </w:rPr>
            </w:pPr>
            <w:r>
              <w:rPr>
                <w:rFonts w:cs="Arial" w:ascii="Arial" w:hAnsi="Arial"/>
                <w:smallCaps/>
                <w:sz w:val="20"/>
              </w:rPr>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mallCaps/>
                <w:sz w:val="20"/>
              </w:rPr>
            </w:pPr>
            <w:r>
              <w:rPr>
                <w:rFonts w:cs="Arial" w:ascii="Arial" w:hAnsi="Arial"/>
                <w:smallCaps/>
                <w:sz w:val="20"/>
              </w:rPr>
            </w:r>
          </w:p>
        </w:tc>
        <w:tc>
          <w:tcPr>
            <w:tcW w:w="1226" w:type="dxa"/>
            <w:tcBorders/>
          </w:tcPr>
          <w:p>
            <w:pPr>
              <w:pStyle w:val="Normal"/>
              <w:tabs>
                <w:tab w:val="clear" w:pos="720"/>
                <w:tab w:val="left" w:pos="-900" w:leader="none"/>
                <w:tab w:val="left" w:pos="-34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end="295"/>
              <w:jc w:val="end"/>
              <w:rPr>
                <w:rFonts w:ascii="Arial" w:hAnsi="Arial" w:cs="Arial"/>
                <w:sz w:val="20"/>
              </w:rPr>
            </w:pPr>
            <w:r>
              <w:rPr>
                <w:rFonts w:cs="Arial" w:ascii="Arial" w:hAnsi="Arial"/>
                <w:sz w:val="20"/>
              </w:rPr>
            </w:r>
          </w:p>
        </w:tc>
        <w:tc>
          <w:tcPr>
            <w:tcW w:w="270" w:type="dxa"/>
            <w:gridSpan w:val="2"/>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240"/>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end="32"/>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58"/>
              <w:rPr>
                <w:rFonts w:ascii="Arial" w:hAnsi="Arial" w:cs="Arial"/>
                <w:sz w:val="20"/>
              </w:rPr>
            </w:pPr>
            <w:r>
              <w:rPr>
                <w:rFonts w:cs="Arial" w:ascii="Arial" w:hAnsi="Arial"/>
                <w:sz w:val="20"/>
              </w:rPr>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both"/>
              <w:rPr>
                <w:rFonts w:ascii="Arial" w:hAnsi="Arial" w:cs="Arial"/>
                <w:sz w:val="20"/>
              </w:rPr>
            </w:pPr>
            <w:r>
              <w:rPr>
                <w:rFonts w:cs="Arial" w:ascii="Arial" w:hAnsi="Arial"/>
                <w:sz w:val="20"/>
              </w:rPr>
              <w:t>Capital Expenditures, $MM:</w:t>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98"/>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left" w:pos="-900" w:leader="none"/>
                <w:tab w:val="decimal" w:pos="5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3"/>
              <w:rPr>
                <w:rFonts w:ascii="Arial" w:hAnsi="Arial" w:cs="Arial"/>
                <w:sz w:val="20"/>
              </w:rPr>
            </w:pPr>
            <w:r>
              <w:rPr>
                <w:rFonts w:cs="Arial" w:ascii="Arial" w:hAnsi="Arial"/>
                <w:sz w:val="20"/>
              </w:rPr>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end="295"/>
              <w:jc w:val="end"/>
              <w:rPr>
                <w:rFonts w:ascii="Arial" w:hAnsi="Arial" w:cs="Arial"/>
                <w:sz w:val="20"/>
              </w:rPr>
            </w:pPr>
            <w:r>
              <w:rPr>
                <w:rFonts w:cs="Arial" w:ascii="Arial" w:hAnsi="Arial"/>
                <w:sz w:val="20"/>
              </w:rPr>
            </w:r>
          </w:p>
        </w:tc>
        <w:tc>
          <w:tcPr>
            <w:tcW w:w="270" w:type="dxa"/>
            <w:gridSpan w:val="2"/>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240"/>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end="32"/>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58"/>
              <w:rPr>
                <w:rFonts w:ascii="Arial" w:hAnsi="Arial" w:cs="Arial"/>
                <w:sz w:val="20"/>
              </w:rPr>
            </w:pPr>
            <w:r>
              <w:rPr>
                <w:rFonts w:cs="Arial" w:ascii="Arial" w:hAnsi="Arial"/>
                <w:sz w:val="20"/>
              </w:rPr>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both"/>
              <w:rPr>
                <w:rFonts w:ascii="Arial" w:hAnsi="Arial" w:cs="Arial"/>
                <w:sz w:val="20"/>
              </w:rPr>
            </w:pPr>
            <w:r>
              <w:rPr>
                <w:rFonts w:eastAsia="Arial" w:cs="Arial" w:ascii="Arial" w:hAnsi="Arial"/>
                <w:sz w:val="20"/>
              </w:rPr>
              <w:t xml:space="preserve">    </w:t>
            </w:r>
            <w:r>
              <w:rPr>
                <w:rFonts w:cs="Arial" w:ascii="Arial" w:hAnsi="Arial"/>
                <w:sz w:val="20"/>
              </w:rPr>
              <w:t>Exploration:</w:t>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98"/>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left" w:pos="-900" w:leader="none"/>
                <w:tab w:val="decimal" w:pos="5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3"/>
              <w:rPr>
                <w:rFonts w:ascii="Arial" w:hAnsi="Arial" w:cs="Arial"/>
                <w:sz w:val="20"/>
              </w:rPr>
            </w:pPr>
            <w:r>
              <w:rPr>
                <w:rFonts w:cs="Arial" w:ascii="Arial" w:hAnsi="Arial"/>
                <w:sz w:val="20"/>
              </w:rPr>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decimal" w:pos="833"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end="295"/>
              <w:jc w:val="end"/>
              <w:rPr>
                <w:rFonts w:ascii="Arial" w:hAnsi="Arial" w:cs="Arial"/>
                <w:sz w:val="20"/>
              </w:rPr>
            </w:pPr>
            <w:r>
              <w:rPr>
                <w:rFonts w:cs="Arial" w:ascii="Arial" w:hAnsi="Arial"/>
                <w:sz w:val="20"/>
              </w:rPr>
            </w:r>
          </w:p>
        </w:tc>
        <w:tc>
          <w:tcPr>
            <w:tcW w:w="270" w:type="dxa"/>
            <w:gridSpan w:val="2"/>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240"/>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end="32"/>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58"/>
              <w:rPr>
                <w:rFonts w:ascii="Arial" w:hAnsi="Arial" w:cs="Arial"/>
                <w:sz w:val="20"/>
              </w:rPr>
            </w:pPr>
            <w:r>
              <w:rPr>
                <w:rFonts w:cs="Arial" w:ascii="Arial" w:hAnsi="Arial"/>
                <w:sz w:val="20"/>
              </w:rPr>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both"/>
              <w:rPr>
                <w:rFonts w:ascii="Arial" w:hAnsi="Arial" w:cs="Arial"/>
                <w:sz w:val="20"/>
              </w:rPr>
            </w:pPr>
            <w:r>
              <w:rPr>
                <w:rFonts w:eastAsia="Arial" w:cs="Arial" w:ascii="Arial" w:hAnsi="Arial"/>
                <w:sz w:val="20"/>
              </w:rPr>
              <w:t xml:space="preserve">         </w:t>
            </w:r>
            <w:r>
              <w:rPr>
                <w:rFonts w:cs="Arial" w:ascii="Arial" w:hAnsi="Arial"/>
                <w:sz w:val="20"/>
              </w:rPr>
              <w:t>Leasehold and G&amp;G costs</w:t>
            </w:r>
            <w:r>
              <w:rPr>
                <w:rFonts w:cs="Arial" w:ascii="Arial" w:hAnsi="Arial"/>
                <w:sz w:val="20"/>
                <w:vertAlign w:val="superscript"/>
              </w:rPr>
              <w:t>(c)</w:t>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98"/>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left" w:pos="-900" w:leader="none"/>
                <w:tab w:val="decimal" w:pos="5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hanging="22" w:start="158" w:end="-3"/>
              <w:rPr>
                <w:rFonts w:ascii="Arial" w:hAnsi="Arial" w:cs="Arial"/>
                <w:sz w:val="20"/>
              </w:rPr>
            </w:pPr>
            <w:r>
              <w:rPr>
                <w:rFonts w:cs="Arial" w:ascii="Arial" w:hAnsi="Arial"/>
                <w:sz w:val="20"/>
              </w:rPr>
              <w:tab/>
              <w:tab/>
              <w:t>$0.0</w:t>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right" w:pos="908"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end="201"/>
              <w:rPr>
                <w:rFonts w:ascii="Arial" w:hAnsi="Arial" w:cs="Arial"/>
                <w:sz w:val="20"/>
              </w:rPr>
            </w:pPr>
            <w:r>
              <w:rPr>
                <w:rFonts w:cs="Arial" w:ascii="Arial" w:hAnsi="Arial"/>
                <w:sz w:val="20"/>
              </w:rPr>
              <w:tab/>
              <w:t>$3.6</w:t>
            </w:r>
          </w:p>
        </w:tc>
        <w:tc>
          <w:tcPr>
            <w:tcW w:w="270" w:type="dxa"/>
            <w:gridSpan w:val="2"/>
            <w:tcBorders/>
          </w:tcPr>
          <w:p>
            <w:pPr>
              <w:pStyle w:val="Normal"/>
              <w:tabs>
                <w:tab w:val="clear" w:pos="720"/>
                <w:tab w:val="left" w:pos="-900" w:leader="none"/>
                <w:tab w:val="left" w:pos="-34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09" w:start="-112" w:end="247"/>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end="32"/>
              <w:rPr>
                <w:rFonts w:ascii="Arial" w:hAnsi="Arial" w:cs="Arial"/>
                <w:sz w:val="20"/>
              </w:rPr>
            </w:pPr>
            <w:r>
              <w:rPr>
                <w:rFonts w:cs="Arial" w:ascii="Arial" w:hAnsi="Arial"/>
                <w:sz w:val="20"/>
              </w:rPr>
              <w:tab/>
              <w:t>$1.7</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09" w:start="-112" w:end="-58"/>
              <w:rPr>
                <w:rFonts w:ascii="Arial" w:hAnsi="Arial" w:cs="Arial"/>
                <w:sz w:val="20"/>
              </w:rPr>
            </w:pPr>
            <w:r>
              <w:rPr>
                <w:rFonts w:cs="Arial" w:ascii="Arial" w:hAnsi="Arial"/>
                <w:sz w:val="20"/>
              </w:rPr>
              <w:tab/>
              <w:t>$2.1</w:t>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both"/>
              <w:rPr>
                <w:rFonts w:ascii="Arial" w:hAnsi="Arial" w:cs="Arial"/>
                <w:sz w:val="20"/>
              </w:rPr>
            </w:pPr>
            <w:r>
              <w:rPr>
                <w:rFonts w:eastAsia="Arial" w:cs="Arial" w:ascii="Arial" w:hAnsi="Arial"/>
                <w:sz w:val="20"/>
              </w:rPr>
              <w:t xml:space="preserve">         </w:t>
            </w:r>
            <w:r>
              <w:rPr>
                <w:rFonts w:cs="Arial" w:ascii="Arial" w:hAnsi="Arial"/>
                <w:sz w:val="20"/>
              </w:rPr>
              <w:t>Drilling</w:t>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98"/>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left" w:pos="-900" w:leader="none"/>
                <w:tab w:val="decimal" w:pos="5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hanging="22" w:start="158" w:end="-3"/>
              <w:rPr>
                <w:rFonts w:ascii="Arial" w:hAnsi="Arial" w:cs="Arial"/>
                <w:sz w:val="20"/>
              </w:rPr>
            </w:pPr>
            <w:r>
              <w:rPr>
                <w:rFonts w:cs="Arial" w:ascii="Arial" w:hAnsi="Arial"/>
                <w:sz w:val="20"/>
              </w:rPr>
              <w:tab/>
              <w:tab/>
              <w:t>3.7</w:t>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right" w:pos="908"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end="-12"/>
              <w:rPr>
                <w:rFonts w:ascii="Arial" w:hAnsi="Arial" w:cs="Arial"/>
                <w:sz w:val="20"/>
              </w:rPr>
            </w:pPr>
            <w:r>
              <w:rPr>
                <w:rFonts w:cs="Arial" w:ascii="Arial" w:hAnsi="Arial"/>
                <w:sz w:val="20"/>
              </w:rPr>
              <w:tab/>
              <w:t>5.9</w:t>
            </w:r>
          </w:p>
        </w:tc>
        <w:tc>
          <w:tcPr>
            <w:tcW w:w="270" w:type="dxa"/>
            <w:gridSpan w:val="2"/>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240"/>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end="32"/>
              <w:rPr>
                <w:rFonts w:ascii="Arial" w:hAnsi="Arial" w:cs="Arial"/>
                <w:sz w:val="20"/>
              </w:rPr>
            </w:pPr>
            <w:r>
              <w:rPr>
                <w:rFonts w:cs="Arial" w:ascii="Arial" w:hAnsi="Arial"/>
                <w:sz w:val="20"/>
              </w:rPr>
              <w:tab/>
              <w:t>16.0</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58"/>
              <w:rPr>
                <w:rFonts w:ascii="Arial" w:hAnsi="Arial" w:cs="Arial"/>
                <w:sz w:val="20"/>
              </w:rPr>
            </w:pPr>
            <w:r>
              <w:rPr>
                <w:rFonts w:cs="Arial" w:ascii="Arial" w:hAnsi="Arial"/>
                <w:sz w:val="20"/>
              </w:rPr>
              <w:tab/>
              <w:t>9.7</w:t>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both"/>
              <w:rPr>
                <w:rFonts w:ascii="Arial" w:hAnsi="Arial" w:cs="Arial"/>
                <w:sz w:val="20"/>
              </w:rPr>
            </w:pPr>
            <w:r>
              <w:rPr>
                <w:rFonts w:eastAsia="Arial" w:cs="Arial" w:ascii="Arial" w:hAnsi="Arial"/>
                <w:sz w:val="20"/>
              </w:rPr>
              <w:t xml:space="preserve">    </w:t>
            </w:r>
            <w:r>
              <w:rPr>
                <w:rFonts w:cs="Arial" w:ascii="Arial" w:hAnsi="Arial"/>
                <w:sz w:val="20"/>
              </w:rPr>
              <w:t>Development &amp; other</w:t>
            </w:r>
            <w:r>
              <w:rPr>
                <w:rFonts w:cs="Arial" w:ascii="Arial" w:hAnsi="Arial"/>
                <w:sz w:val="20"/>
                <w:vertAlign w:val="superscript"/>
              </w:rPr>
              <w:t>(c)</w:t>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98"/>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left" w:pos="-900" w:leader="none"/>
                <w:tab w:val="decimal" w:pos="5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hanging="22" w:start="158" w:end="-3"/>
              <w:rPr>
                <w:rFonts w:ascii="Arial" w:hAnsi="Arial" w:cs="Arial"/>
                <w:sz w:val="20"/>
              </w:rPr>
            </w:pPr>
            <w:r>
              <w:rPr>
                <w:rFonts w:cs="Arial" w:ascii="Arial" w:hAnsi="Arial"/>
                <w:sz w:val="20"/>
              </w:rPr>
              <w:tab/>
              <w:tab/>
              <w:t>16.7</w:t>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right" w:pos="908"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end="201"/>
              <w:rPr>
                <w:rFonts w:ascii="Arial" w:hAnsi="Arial" w:cs="Arial"/>
                <w:sz w:val="20"/>
              </w:rPr>
            </w:pPr>
            <w:r>
              <w:rPr>
                <w:rFonts w:cs="Arial" w:ascii="Arial" w:hAnsi="Arial"/>
                <w:sz w:val="20"/>
              </w:rPr>
              <w:tab/>
              <w:t>5.9</w:t>
            </w:r>
          </w:p>
        </w:tc>
        <w:tc>
          <w:tcPr>
            <w:tcW w:w="270" w:type="dxa"/>
            <w:gridSpan w:val="2"/>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240"/>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end="32"/>
              <w:rPr>
                <w:rFonts w:ascii="Arial" w:hAnsi="Arial" w:cs="Arial"/>
                <w:sz w:val="20"/>
              </w:rPr>
            </w:pPr>
            <w:r>
              <w:rPr>
                <w:rFonts w:cs="Arial" w:ascii="Arial" w:hAnsi="Arial"/>
                <w:sz w:val="20"/>
              </w:rPr>
              <w:tab/>
              <w:t>49.1</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58"/>
              <w:rPr>
                <w:rFonts w:ascii="Arial" w:hAnsi="Arial" w:cs="Arial"/>
                <w:sz w:val="20"/>
              </w:rPr>
            </w:pPr>
            <w:r>
              <w:rPr>
                <w:rFonts w:cs="Arial" w:ascii="Arial" w:hAnsi="Arial"/>
                <w:sz w:val="20"/>
              </w:rPr>
              <w:tab/>
              <w:t>40.5</w:t>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both"/>
              <w:rPr>
                <w:rFonts w:ascii="Arial" w:hAnsi="Arial" w:cs="Arial"/>
                <w:sz w:val="20"/>
              </w:rPr>
            </w:pPr>
            <w:r>
              <w:rPr>
                <w:rFonts w:eastAsia="Arial" w:cs="Arial" w:ascii="Arial" w:hAnsi="Arial"/>
                <w:sz w:val="20"/>
              </w:rPr>
              <w:t xml:space="preserve">    </w:t>
            </w:r>
            <w:r>
              <w:rPr>
                <w:rFonts w:cs="Arial" w:ascii="Arial" w:hAnsi="Arial"/>
                <w:sz w:val="20"/>
              </w:rPr>
              <w:t>Capitalized G&amp;A and interest costs</w:t>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98"/>
              <w:jc w:val="end"/>
              <w:rPr>
                <w:rFonts w:ascii="Arial" w:hAnsi="Arial" w:cs="Arial"/>
                <w:sz w:val="20"/>
              </w:rPr>
            </w:pPr>
            <w:r>
              <w:rPr>
                <w:rFonts w:cs="Arial" w:ascii="Arial" w:hAnsi="Arial"/>
                <w:sz w:val="20"/>
              </w:rPr>
            </w:r>
          </w:p>
        </w:tc>
        <w:tc>
          <w:tcPr>
            <w:tcW w:w="1089" w:type="dxa"/>
            <w:gridSpan w:val="2"/>
            <w:tcBorders>
              <w:bottom w:val="single" w:sz="4" w:space="0" w:color="000000"/>
            </w:tcBorders>
          </w:tcPr>
          <w:p>
            <w:pPr>
              <w:pStyle w:val="Normal"/>
              <w:tabs>
                <w:tab w:val="clear" w:pos="720"/>
                <w:tab w:val="left" w:pos="-900" w:leader="none"/>
                <w:tab w:val="decimal" w:pos="5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hanging="22" w:start="158" w:end="-3"/>
              <w:rPr>
                <w:rFonts w:ascii="Arial" w:hAnsi="Arial" w:cs="Arial"/>
                <w:sz w:val="20"/>
              </w:rPr>
            </w:pPr>
            <w:r>
              <w:rPr>
                <w:rFonts w:cs="Arial" w:ascii="Arial" w:hAnsi="Arial"/>
                <w:sz w:val="20"/>
              </w:rPr>
              <w:tab/>
              <w:tab/>
              <w:t>4.1</w:t>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end"/>
              <w:rPr>
                <w:rFonts w:ascii="Arial" w:hAnsi="Arial" w:eastAsia="Arial" w:cs="Arial"/>
                <w:sz w:val="20"/>
              </w:rPr>
            </w:pPr>
            <w:r>
              <w:rPr>
                <w:rFonts w:eastAsia="Arial" w:cs="Arial" w:ascii="Arial" w:hAnsi="Arial"/>
                <w:sz w:val="20"/>
              </w:rPr>
              <w:t xml:space="preserve"> </w:t>
            </w:r>
          </w:p>
        </w:tc>
        <w:tc>
          <w:tcPr>
            <w:tcW w:w="1226" w:type="dxa"/>
            <w:tcBorders>
              <w:bottom w:val="single" w:sz="4" w:space="0" w:color="000000"/>
            </w:tcBorders>
          </w:tcPr>
          <w:p>
            <w:pPr>
              <w:pStyle w:val="Normal"/>
              <w:tabs>
                <w:tab w:val="clear" w:pos="720"/>
                <w:tab w:val="left" w:pos="-900" w:leader="none"/>
                <w:tab w:val="left" w:pos="-344" w:leader="none"/>
                <w:tab w:val="right" w:pos="908"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end="201"/>
              <w:rPr>
                <w:rFonts w:ascii="Arial" w:hAnsi="Arial" w:cs="Arial"/>
                <w:sz w:val="20"/>
              </w:rPr>
            </w:pPr>
            <w:r>
              <w:rPr>
                <w:rFonts w:cs="Arial" w:ascii="Arial" w:hAnsi="Arial"/>
                <w:sz w:val="20"/>
              </w:rPr>
              <w:tab/>
              <w:t>2.6</w:t>
            </w:r>
          </w:p>
        </w:tc>
        <w:tc>
          <w:tcPr>
            <w:tcW w:w="270" w:type="dxa"/>
            <w:gridSpan w:val="2"/>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240"/>
              <w:jc w:val="end"/>
              <w:rPr>
                <w:rFonts w:ascii="Arial" w:hAnsi="Arial" w:cs="Arial"/>
                <w:sz w:val="20"/>
              </w:rPr>
            </w:pPr>
            <w:r>
              <w:rPr>
                <w:rFonts w:cs="Arial" w:ascii="Arial" w:hAnsi="Arial"/>
                <w:sz w:val="20"/>
              </w:rPr>
            </w:r>
          </w:p>
        </w:tc>
        <w:tc>
          <w:tcPr>
            <w:tcW w:w="1124" w:type="dxa"/>
            <w:gridSpan w:val="2"/>
            <w:tcBorders>
              <w:bottom w:val="single" w:sz="4" w:space="0" w:color="000000"/>
            </w:tcBorders>
          </w:tcPr>
          <w:p>
            <w:pPr>
              <w:pStyle w:val="Normal"/>
              <w:tabs>
                <w:tab w:val="clear" w:pos="720"/>
                <w:tab w:val="left" w:pos="-900" w:leader="none"/>
                <w:tab w:val="left" w:pos="-344"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end="32"/>
              <w:rPr>
                <w:rFonts w:ascii="Arial" w:hAnsi="Arial" w:cs="Arial"/>
                <w:sz w:val="20"/>
              </w:rPr>
            </w:pPr>
            <w:r>
              <w:rPr>
                <w:rFonts w:cs="Arial" w:ascii="Arial" w:hAnsi="Arial"/>
                <w:sz w:val="20"/>
              </w:rPr>
              <w:tab/>
              <w:t>12.3</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end"/>
              <w:rPr>
                <w:rFonts w:ascii="Arial" w:hAnsi="Arial" w:eastAsia="Arial" w:cs="Arial"/>
                <w:sz w:val="20"/>
              </w:rPr>
            </w:pPr>
            <w:r>
              <w:rPr>
                <w:rFonts w:eastAsia="Arial" w:cs="Arial" w:ascii="Arial" w:hAnsi="Arial"/>
                <w:sz w:val="20"/>
              </w:rPr>
              <w:t xml:space="preserve"> </w:t>
            </w:r>
          </w:p>
        </w:tc>
        <w:tc>
          <w:tcPr>
            <w:tcW w:w="1170" w:type="dxa"/>
            <w:tcBorders>
              <w:bottom w:val="single" w:sz="4" w:space="0" w:color="000000"/>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58"/>
              <w:rPr>
                <w:rFonts w:ascii="Arial" w:hAnsi="Arial" w:cs="Arial"/>
                <w:sz w:val="20"/>
              </w:rPr>
            </w:pPr>
            <w:r>
              <w:rPr>
                <w:rFonts w:cs="Arial" w:ascii="Arial" w:hAnsi="Arial"/>
                <w:sz w:val="20"/>
              </w:rPr>
              <w:tab/>
              <w:t>9.4</w:t>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both"/>
              <w:rPr>
                <w:rFonts w:ascii="Arial" w:hAnsi="Arial" w:cs="Arial"/>
                <w:sz w:val="20"/>
              </w:rPr>
            </w:pPr>
            <w:r>
              <w:rPr>
                <w:rFonts w:cs="Arial" w:ascii="Arial" w:hAnsi="Arial"/>
                <w:sz w:val="20"/>
              </w:rPr>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98"/>
              <w:jc w:val="end"/>
              <w:rPr>
                <w:rFonts w:ascii="Arial" w:hAnsi="Arial" w:cs="Arial"/>
                <w:sz w:val="20"/>
              </w:rPr>
            </w:pPr>
            <w:r>
              <w:rPr>
                <w:rFonts w:cs="Arial" w:ascii="Arial" w:hAnsi="Arial"/>
                <w:sz w:val="20"/>
              </w:rPr>
            </w:r>
          </w:p>
        </w:tc>
        <w:tc>
          <w:tcPr>
            <w:tcW w:w="1089" w:type="dxa"/>
            <w:gridSpan w:val="2"/>
            <w:tcBorders/>
          </w:tcPr>
          <w:p>
            <w:pPr>
              <w:pStyle w:val="Normal"/>
              <w:tabs>
                <w:tab w:val="clear" w:pos="720"/>
                <w:tab w:val="left" w:pos="-900" w:leader="none"/>
                <w:tab w:val="decimal" w:pos="5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3"/>
              <w:rPr>
                <w:rFonts w:ascii="Arial" w:hAnsi="Arial" w:cs="Arial"/>
                <w:sz w:val="20"/>
              </w:rPr>
            </w:pPr>
            <w:r>
              <w:rPr>
                <w:rFonts w:cs="Arial" w:ascii="Arial" w:hAnsi="Arial"/>
                <w:sz w:val="20"/>
              </w:rPr>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tcPr>
          <w:p>
            <w:pPr>
              <w:pStyle w:val="Normal"/>
              <w:tabs>
                <w:tab w:val="clear" w:pos="720"/>
                <w:tab w:val="left" w:pos="-900" w:leader="none"/>
                <w:tab w:val="left" w:pos="-344" w:leader="none"/>
                <w:tab w:val="right" w:pos="908"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end="201"/>
              <w:rPr>
                <w:rFonts w:ascii="Arial" w:hAnsi="Arial" w:cs="Arial"/>
                <w:sz w:val="20"/>
              </w:rPr>
            </w:pPr>
            <w:r>
              <w:rPr>
                <w:rFonts w:cs="Arial" w:ascii="Arial" w:hAnsi="Arial"/>
                <w:sz w:val="20"/>
              </w:rPr>
            </w:r>
          </w:p>
        </w:tc>
        <w:tc>
          <w:tcPr>
            <w:tcW w:w="270" w:type="dxa"/>
            <w:gridSpan w:val="2"/>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240"/>
              <w:jc w:val="end"/>
              <w:rPr>
                <w:rFonts w:ascii="Arial" w:hAnsi="Arial" w:cs="Arial"/>
                <w:sz w:val="20"/>
              </w:rPr>
            </w:pPr>
            <w:r>
              <w:rPr>
                <w:rFonts w:cs="Arial" w:ascii="Arial" w:hAnsi="Arial"/>
                <w:sz w:val="20"/>
              </w:rPr>
            </w:r>
          </w:p>
        </w:tc>
        <w:tc>
          <w:tcPr>
            <w:tcW w:w="1124" w:type="dxa"/>
            <w:gridSpan w:val="2"/>
            <w:tcBorders/>
          </w:tcPr>
          <w:p>
            <w:pPr>
              <w:pStyle w:val="Normal"/>
              <w:tabs>
                <w:tab w:val="clear" w:pos="720"/>
                <w:tab w:val="left" w:pos="-900" w:leader="none"/>
                <w:tab w:val="left" w:pos="-344"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end="32"/>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58"/>
              <w:rPr>
                <w:rFonts w:ascii="Arial" w:hAnsi="Arial" w:cs="Arial"/>
                <w:sz w:val="20"/>
              </w:rPr>
            </w:pPr>
            <w:r>
              <w:rPr>
                <w:rFonts w:cs="Arial" w:ascii="Arial" w:hAnsi="Arial"/>
                <w:sz w:val="20"/>
              </w:rPr>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131" w:type="dxa"/>
            <w:gridSpan w:val="2"/>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both"/>
              <w:rPr>
                <w:rFonts w:ascii="Arial" w:hAnsi="Arial" w:cs="Arial"/>
                <w:sz w:val="20"/>
              </w:rPr>
            </w:pPr>
            <w:r>
              <w:rPr>
                <w:rFonts w:eastAsia="Arial" w:cs="Arial" w:ascii="Arial" w:hAnsi="Arial"/>
                <w:sz w:val="20"/>
              </w:rPr>
              <w:t xml:space="preserve">        </w:t>
            </w:r>
            <w:r>
              <w:rPr>
                <w:rFonts w:cs="Arial" w:ascii="Arial" w:hAnsi="Arial"/>
                <w:sz w:val="20"/>
              </w:rPr>
              <w:t>Total</w:t>
            </w:r>
          </w:p>
        </w:tc>
        <w:tc>
          <w:tcPr>
            <w:tcW w:w="360" w:type="dxa"/>
            <w:tcBorders/>
          </w:tcPr>
          <w:p>
            <w:pPr>
              <w:pStyle w:val="Normal"/>
              <w:tabs>
                <w:tab w:val="clear" w:pos="720"/>
                <w:tab w:val="left" w:pos="-90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hanging="22" w:start="158" w:end="298"/>
              <w:jc w:val="end"/>
              <w:rPr>
                <w:rFonts w:ascii="Arial" w:hAnsi="Arial" w:cs="Arial"/>
                <w:sz w:val="20"/>
              </w:rPr>
            </w:pPr>
            <w:r>
              <w:rPr>
                <w:rFonts w:cs="Arial" w:ascii="Arial" w:hAnsi="Arial"/>
                <w:sz w:val="20"/>
              </w:rPr>
            </w:r>
          </w:p>
        </w:tc>
        <w:tc>
          <w:tcPr>
            <w:tcW w:w="1089" w:type="dxa"/>
            <w:gridSpan w:val="2"/>
            <w:tcBorders>
              <w:bottom w:val="double" w:sz="4" w:space="0" w:color="000000"/>
            </w:tcBorders>
          </w:tcPr>
          <w:p>
            <w:pPr>
              <w:pStyle w:val="Normal"/>
              <w:tabs>
                <w:tab w:val="clear" w:pos="720"/>
                <w:tab w:val="left" w:pos="-900" w:leader="none"/>
                <w:tab w:val="decimal" w:pos="5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hanging="22" w:start="158" w:end="-3"/>
              <w:rPr>
                <w:rFonts w:ascii="Arial" w:hAnsi="Arial" w:cs="Arial"/>
                <w:sz w:val="20"/>
              </w:rPr>
            </w:pPr>
            <w:r>
              <w:rPr>
                <w:rFonts w:cs="Arial" w:ascii="Arial" w:hAnsi="Arial"/>
                <w:sz w:val="20"/>
              </w:rPr>
              <w:tab/>
              <w:tab/>
              <w:t>$24.5</w:t>
            </w:r>
          </w:p>
        </w:tc>
        <w:tc>
          <w:tcPr>
            <w:tcW w:w="295"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26" w:type="dxa"/>
            <w:tcBorders>
              <w:bottom w:val="double" w:sz="4" w:space="0" w:color="000000"/>
            </w:tcBorders>
          </w:tcPr>
          <w:p>
            <w:pPr>
              <w:pStyle w:val="Normal"/>
              <w:tabs>
                <w:tab w:val="clear" w:pos="720"/>
                <w:tab w:val="left" w:pos="-900" w:leader="none"/>
                <w:tab w:val="left" w:pos="-344" w:leader="none"/>
                <w:tab w:val="right" w:pos="0" w:leader="none"/>
                <w:tab w:val="right" w:pos="908"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end="201"/>
              <w:rPr>
                <w:rFonts w:ascii="Arial" w:hAnsi="Arial" w:cs="Arial"/>
                <w:sz w:val="20"/>
              </w:rPr>
            </w:pPr>
            <w:r>
              <w:rPr>
                <w:rFonts w:cs="Arial" w:ascii="Arial" w:hAnsi="Arial"/>
                <w:sz w:val="20"/>
              </w:rPr>
              <w:tab/>
              <w:t>$18.0</w:t>
            </w:r>
          </w:p>
        </w:tc>
        <w:tc>
          <w:tcPr>
            <w:tcW w:w="270" w:type="dxa"/>
            <w:gridSpan w:val="2"/>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ind w:firstLine="180" w:start="-112" w:end="240"/>
              <w:jc w:val="end"/>
              <w:rPr>
                <w:rFonts w:ascii="Arial" w:hAnsi="Arial" w:cs="Arial"/>
                <w:sz w:val="20"/>
              </w:rPr>
            </w:pPr>
            <w:r>
              <w:rPr>
                <w:rFonts w:cs="Arial" w:ascii="Arial" w:hAnsi="Arial"/>
                <w:sz w:val="20"/>
              </w:rPr>
            </w:r>
          </w:p>
        </w:tc>
        <w:tc>
          <w:tcPr>
            <w:tcW w:w="1124" w:type="dxa"/>
            <w:gridSpan w:val="2"/>
            <w:tcBorders>
              <w:bottom w:val="double" w:sz="4" w:space="0" w:color="000000"/>
            </w:tcBorders>
          </w:tcPr>
          <w:p>
            <w:pPr>
              <w:pStyle w:val="Normal"/>
              <w:tabs>
                <w:tab w:val="clear" w:pos="720"/>
                <w:tab w:val="left" w:pos="-900" w:leader="none"/>
                <w:tab w:val="left" w:pos="-344" w:leader="none"/>
                <w:tab w:val="right" w:pos="76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end="32"/>
              <w:rPr>
                <w:rFonts w:ascii="Arial" w:hAnsi="Arial" w:cs="Arial"/>
                <w:sz w:val="20"/>
              </w:rPr>
            </w:pPr>
            <w:r>
              <w:rPr>
                <w:rFonts w:cs="Arial" w:ascii="Arial" w:hAnsi="Arial"/>
                <w:sz w:val="20"/>
              </w:rPr>
              <w:tab/>
              <w:t>$79.1</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0" w:type="dxa"/>
            <w:tcBorders>
              <w:bottom w:val="double" w:sz="4" w:space="0" w:color="000000"/>
            </w:tcBorders>
          </w:tcPr>
          <w:p>
            <w:pPr>
              <w:pStyle w:val="Normal"/>
              <w:tabs>
                <w:tab w:val="clear" w:pos="720"/>
                <w:tab w:val="left" w:pos="-900" w:leader="none"/>
                <w:tab w:val="left" w:pos="-344" w:leader="none"/>
                <w:tab w:val="right" w:pos="78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180" w:start="-112" w:end="-58"/>
              <w:rPr>
                <w:rFonts w:ascii="Arial" w:hAnsi="Arial" w:cs="Arial"/>
                <w:sz w:val="20"/>
              </w:rPr>
            </w:pPr>
            <w:r>
              <w:rPr>
                <w:rFonts w:cs="Arial" w:ascii="Arial" w:hAnsi="Arial"/>
                <w:sz w:val="20"/>
              </w:rPr>
              <w:tab/>
              <w:t>$61.7</w:t>
            </w:r>
          </w:p>
        </w:tc>
        <w:tc>
          <w:tcPr>
            <w:tcW w:w="45" w:type="dxa"/>
            <w:tcBorders/>
            <w:tcMar>
              <w:start w:w="0" w:type="dxa"/>
              <w:end w:w="0" w:type="dxa"/>
            </w:tcMar>
          </w:tcPr>
          <w:p>
            <w:pPr>
              <w:pStyle w:val="Normal"/>
              <w:snapToGrid w:val="false"/>
              <w:rPr>
                <w:rFonts w:ascii="Arial" w:hAnsi="Arial" w:cs="Arial"/>
                <w:sz w:val="20"/>
              </w:rPr>
            </w:pPr>
            <w:r>
              <w:rPr>
                <w:rFonts w:cs="Arial" w:ascii="Arial" w:hAnsi="Arial"/>
                <w:sz w:val="20"/>
              </w:rPr>
            </w:r>
          </w:p>
        </w:tc>
      </w:tr>
    </w:tbl>
    <w:p>
      <w:pPr>
        <w:pStyle w:val="Normal"/>
        <w:tabs>
          <w:tab w:val="clear" w:pos="720"/>
          <w:tab w:val="left" w:pos="-900" w:leader="none"/>
          <w:tab w:val="left" w:pos="-344" w:leader="none"/>
          <w:tab w:val="left" w:pos="-120" w:leader="none"/>
          <w:tab w:val="left" w:pos="240" w:leader="none"/>
          <w:tab w:val="left" w:pos="1095" w:leader="none"/>
          <w:tab w:val="left" w:pos="1586" w:leader="none"/>
          <w:tab w:val="left" w:pos="2306" w:leader="none"/>
          <w:tab w:val="decimal" w:pos="5889" w:leader="none"/>
          <w:tab w:val="left" w:pos="6249" w:leader="none"/>
          <w:tab w:val="left" w:pos="7116" w:leader="none"/>
          <w:tab w:val="decimal" w:pos="7776" w:leader="none"/>
          <w:tab w:val="decimal" w:pos="9309" w:leader="none"/>
          <w:tab w:val="left" w:pos="9579" w:leader="none"/>
        </w:tabs>
        <w:ind w:start="900" w:end="0"/>
        <w:rPr>
          <w:rFonts w:ascii="Arial" w:hAnsi="Arial" w:cs="Arial"/>
          <w:sz w:val="20"/>
        </w:rPr>
      </w:pPr>
      <w:r>
        <w:rPr>
          <w:rFonts w:cs="Arial" w:ascii="Arial" w:hAnsi="Arial"/>
          <w:sz w:val="20"/>
        </w:rPr>
      </w:r>
    </w:p>
    <w:p>
      <w:pPr>
        <w:pStyle w:val="Normal"/>
        <w:tabs>
          <w:tab w:val="clear" w:pos="720"/>
          <w:tab w:val="left" w:pos="-900" w:leader="none"/>
          <w:tab w:val="left" w:pos="-344" w:leader="none"/>
          <w:tab w:val="left" w:pos="-120" w:leader="none"/>
          <w:tab w:val="left" w:pos="240" w:leader="none"/>
          <w:tab w:val="left" w:pos="1095" w:leader="none"/>
          <w:tab w:val="left" w:pos="1586" w:leader="none"/>
          <w:tab w:val="left" w:pos="2306" w:leader="none"/>
          <w:tab w:val="decimal" w:pos="5889" w:leader="none"/>
          <w:tab w:val="left" w:pos="6249" w:leader="none"/>
          <w:tab w:val="left" w:pos="7116" w:leader="none"/>
          <w:tab w:val="decimal" w:pos="7776" w:leader="none"/>
          <w:tab w:val="decimal" w:pos="9309" w:leader="none"/>
          <w:tab w:val="left" w:pos="9579" w:leader="none"/>
        </w:tabs>
        <w:ind w:start="900" w:end="0"/>
        <w:rPr>
          <w:rFonts w:ascii="Arial" w:hAnsi="Arial" w:cs="Arial"/>
          <w:sz w:val="20"/>
        </w:rPr>
      </w:pPr>
      <w:r>
        <w:rPr>
          <w:rFonts w:cs="Arial" w:ascii="Arial" w:hAnsi="Arial"/>
          <w:sz w:val="20"/>
        </w:rPr>
      </w:r>
    </w:p>
    <w:p>
      <w:pPr>
        <w:pStyle w:val="BodyTextIndent2"/>
        <w:ind w:hanging="360" w:start="360" w:end="0"/>
        <w:rPr>
          <w:sz w:val="18"/>
        </w:rPr>
      </w:pPr>
      <w:r>
        <w:rPr>
          <w:sz w:val="18"/>
        </w:rPr>
        <w:t xml:space="preserve">(a) - EBITDA equals earnings before interest, income taxes, and depreciation, depletion and amortization. </w:t>
      </w:r>
    </w:p>
    <w:p>
      <w:pPr>
        <w:pStyle w:val="BodyTextIndent2"/>
        <w:rPr>
          <w:sz w:val="18"/>
        </w:rPr>
      </w:pPr>
      <w:r>
        <w:rPr>
          <w:sz w:val="18"/>
        </w:rPr>
      </w:r>
    </w:p>
    <w:p>
      <w:pPr>
        <w:pStyle w:val="BodyTextIndent2"/>
        <w:ind w:hanging="360" w:start="360" w:end="0"/>
        <w:rPr>
          <w:sz w:val="18"/>
        </w:rPr>
      </w:pPr>
      <w:r>
        <w:rPr>
          <w:sz w:val="18"/>
        </w:rPr>
        <w:t>(b) - Cash margin is equal to revenue (net of hedging) minus lease operating expenses and gross general and administrative costs after recoveries from third parties.  Gross general and administrative (G&amp;A) costs include the portion of such costs which have been capitalized by the Company under the full cost accounting method.  Cash margin measures the net cash generated by a company’s operations during a given period, without regard to the period such cash is physically received or spent by the company.</w:t>
      </w:r>
    </w:p>
    <w:p>
      <w:pPr>
        <w:pStyle w:val="BodyTextIndent2"/>
        <w:rPr>
          <w:sz w:val="18"/>
        </w:rPr>
      </w:pPr>
      <w:r>
        <w:rPr>
          <w:sz w:val="18"/>
        </w:rPr>
      </w:r>
    </w:p>
    <w:p>
      <w:pPr>
        <w:pStyle w:val="BodyTextIndent2"/>
        <w:ind w:hanging="360" w:start="360" w:end="0"/>
        <w:rPr>
          <w:sz w:val="18"/>
        </w:rPr>
      </w:pPr>
      <w:r>
        <w:rPr>
          <w:sz w:val="18"/>
        </w:rPr>
        <w:t>(c) - During 2000 and 1999, Leasehold and G&amp;G costs and Development and other costs were reduced by $29.0 million and $19.8 million respectively,  as a result of property conveyances.</w:t>
      </w:r>
      <w:r>
        <w:br w:type="page"/>
      </w:r>
    </w:p>
    <w:p>
      <w:pPr>
        <w:pStyle w:val="BodyTextIndent2"/>
        <w:rPr>
          <w:sz w:val="20"/>
        </w:rPr>
      </w:pPr>
      <w:r>
        <w:rPr>
          <w:sz w:val="20"/>
        </w:rPr>
      </w:r>
    </w:p>
    <w:p>
      <w:pPr>
        <w:pStyle w:val="Normal"/>
        <w:tabs>
          <w:tab w:val="left" w:pos="1" w:leader="none"/>
          <w:tab w:val="left" w:pos="720" w:leader="none"/>
          <w:tab w:val="left" w:pos="1210" w:leader="none"/>
          <w:tab w:val="left" w:pos="1750" w:leader="none"/>
          <w:tab w:val="left" w:pos="229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Arial" w:hAnsi="Arial" w:cs="Arial"/>
          <w:b/>
          <w:sz w:val="20"/>
        </w:rPr>
      </w:pPr>
      <w:r>
        <w:rPr>
          <w:rFonts w:cs="Arial" w:ascii="Arial" w:hAnsi="Arial"/>
          <w:b/>
          <w:sz w:val="20"/>
        </w:rPr>
      </w:r>
    </w:p>
    <w:p>
      <w:pPr>
        <w:pStyle w:val="Normal"/>
        <w:tabs>
          <w:tab w:val="left" w:pos="1" w:leader="none"/>
          <w:tab w:val="left" w:pos="720" w:leader="none"/>
          <w:tab w:val="left" w:pos="1210" w:leader="none"/>
          <w:tab w:val="left" w:pos="1750" w:leader="none"/>
          <w:tab w:val="left" w:pos="229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Arial" w:hAnsi="Arial" w:cs="Arial"/>
          <w:b/>
          <w:sz w:val="20"/>
        </w:rPr>
      </w:pPr>
      <w:r>
        <w:rPr>
          <w:rFonts w:cs="Arial" w:ascii="Arial" w:hAnsi="Arial"/>
          <w:b/>
          <w:sz w:val="20"/>
        </w:rPr>
        <w:t>MARINER ENERGY, INC.</w:t>
      </w:r>
    </w:p>
    <w:p>
      <w:pPr>
        <w:pStyle w:val="Normal"/>
        <w:tabs>
          <w:tab w:val="left" w:pos="1" w:leader="none"/>
          <w:tab w:val="left" w:pos="720" w:leader="none"/>
          <w:tab w:val="left" w:pos="1210" w:leader="none"/>
          <w:tab w:val="left" w:pos="1750" w:leader="none"/>
          <w:tab w:val="left" w:pos="229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Arial" w:hAnsi="Arial" w:cs="Arial"/>
          <w:b/>
          <w:sz w:val="20"/>
        </w:rPr>
      </w:pPr>
      <w:r>
        <w:rPr>
          <w:rFonts w:cs="Arial" w:ascii="Arial" w:hAnsi="Arial"/>
          <w:b/>
          <w:sz w:val="20"/>
        </w:rPr>
        <w:t>BALANCE SHEETS</w:t>
      </w:r>
    </w:p>
    <w:p>
      <w:pPr>
        <w:pStyle w:val="Normal"/>
        <w:tabs>
          <w:tab w:val="left" w:pos="1" w:leader="none"/>
          <w:tab w:val="left" w:pos="720" w:leader="none"/>
          <w:tab w:val="left" w:pos="1210" w:leader="none"/>
          <w:tab w:val="left" w:pos="1750" w:leader="none"/>
          <w:tab w:val="left" w:pos="229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Arial" w:hAnsi="Arial" w:cs="Arial"/>
          <w:b/>
          <w:sz w:val="20"/>
        </w:rPr>
      </w:pPr>
      <w:r>
        <w:rPr>
          <w:rFonts w:cs="Arial" w:ascii="Arial" w:hAnsi="Arial"/>
          <w:b/>
          <w:sz w:val="20"/>
        </w:rPr>
        <w:t>(in thousands, except share data)</w:t>
      </w:r>
    </w:p>
    <w:p>
      <w:pPr>
        <w:pStyle w:val="Normal"/>
        <w:tabs>
          <w:tab w:val="left" w:pos="1" w:leader="none"/>
          <w:tab w:val="left" w:pos="720" w:leader="none"/>
          <w:tab w:val="left" w:pos="1210" w:leader="none"/>
          <w:tab w:val="left" w:pos="1750" w:leader="none"/>
          <w:tab w:val="left" w:pos="229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Arial" w:hAnsi="Arial" w:cs="Arial"/>
          <w:b/>
          <w:sz w:val="20"/>
          <w:u w:val="single"/>
        </w:rPr>
      </w:pPr>
      <w:r>
        <w:rPr>
          <w:rFonts w:cs="Arial" w:ascii="Arial" w:hAnsi="Arial"/>
          <w:b/>
          <w:sz w:val="20"/>
          <w:u w:val="single"/>
        </w:rPr>
      </w:r>
    </w:p>
    <w:tbl>
      <w:tblPr>
        <w:tblW w:w="9918" w:type="dxa"/>
        <w:jc w:val="start"/>
        <w:tblInd w:w="0" w:type="dxa"/>
        <w:tblLayout w:type="fixed"/>
        <w:tblCellMar>
          <w:top w:w="0" w:type="dxa"/>
          <w:start w:w="108" w:type="dxa"/>
          <w:bottom w:w="0" w:type="dxa"/>
          <w:end w:w="108" w:type="dxa"/>
        </w:tblCellMar>
      </w:tblPr>
      <w:tblGrid>
        <w:gridCol w:w="6138"/>
        <w:gridCol w:w="1800"/>
        <w:gridCol w:w="360"/>
        <w:gridCol w:w="1620"/>
      </w:tblGrid>
      <w:tr>
        <w:trPr/>
        <w:tc>
          <w:tcPr>
            <w:tcW w:w="6138" w:type="dxa"/>
            <w:tcBorders/>
          </w:tcPr>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s>
              <w:snapToGrid w:val="false"/>
              <w:jc w:val="center"/>
              <w:rPr>
                <w:rFonts w:ascii="Arial" w:hAnsi="Arial" w:cs="Arial"/>
                <w:b/>
                <w:sz w:val="20"/>
                <w:u w:val="single"/>
              </w:rPr>
            </w:pPr>
            <w:r>
              <w:rPr>
                <w:rFonts w:cs="Arial" w:ascii="Arial" w:hAnsi="Arial"/>
                <w:b/>
                <w:sz w:val="20"/>
                <w:u w:val="single"/>
              </w:rPr>
            </w:r>
          </w:p>
        </w:tc>
        <w:tc>
          <w:tcPr>
            <w:tcW w:w="1800" w:type="dxa"/>
            <w:tcBorders>
              <w:bottom w:val="single" w:sz="4" w:space="0" w:color="000000"/>
            </w:tcBorders>
          </w:tcPr>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s>
              <w:jc w:val="center"/>
              <w:rPr>
                <w:rFonts w:ascii="Arial" w:hAnsi="Arial" w:cs="Arial"/>
                <w:sz w:val="20"/>
              </w:rPr>
            </w:pPr>
            <w:r>
              <w:rPr>
                <w:rFonts w:cs="Arial" w:ascii="Arial" w:hAnsi="Arial"/>
                <w:sz w:val="20"/>
              </w:rPr>
              <w:t xml:space="preserve">December 31, </w:t>
            </w:r>
          </w:p>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s>
              <w:jc w:val="center"/>
              <w:rPr>
                <w:rFonts w:ascii="Arial" w:hAnsi="Arial" w:cs="Arial"/>
                <w:sz w:val="20"/>
              </w:rPr>
            </w:pPr>
            <w:r>
              <w:rPr>
                <w:rFonts w:cs="Arial" w:ascii="Arial" w:hAnsi="Arial"/>
                <w:sz w:val="20"/>
              </w:rPr>
              <w:t>2000</w:t>
            </w:r>
          </w:p>
        </w:tc>
        <w:tc>
          <w:tcPr>
            <w:tcW w:w="360" w:type="dxa"/>
            <w:tcBorders/>
          </w:tcPr>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s>
              <w:snapToGrid w:val="false"/>
              <w:jc w:val="center"/>
              <w:rPr>
                <w:rFonts w:ascii="Arial" w:hAnsi="Arial" w:cs="Arial"/>
                <w:sz w:val="20"/>
              </w:rPr>
            </w:pPr>
            <w:r>
              <w:rPr>
                <w:rFonts w:cs="Arial" w:ascii="Arial" w:hAnsi="Arial"/>
                <w:sz w:val="20"/>
              </w:rPr>
            </w:r>
          </w:p>
        </w:tc>
        <w:tc>
          <w:tcPr>
            <w:tcW w:w="1620" w:type="dxa"/>
            <w:tcBorders>
              <w:bottom w:val="single" w:sz="4" w:space="0" w:color="000000"/>
            </w:tcBorders>
            <w:vAlign w:val="bottom"/>
          </w:tcPr>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s>
              <w:jc w:val="center"/>
              <w:rPr>
                <w:rFonts w:ascii="Arial" w:hAnsi="Arial" w:cs="Arial"/>
                <w:sz w:val="20"/>
              </w:rPr>
            </w:pPr>
            <w:r>
              <w:rPr>
                <w:rFonts w:cs="Arial" w:ascii="Arial" w:hAnsi="Arial"/>
                <w:sz w:val="20"/>
              </w:rPr>
              <w:t>December 31,</w:t>
            </w:r>
          </w:p>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s>
              <w:jc w:val="center"/>
              <w:rPr>
                <w:rFonts w:ascii="Arial" w:hAnsi="Arial" w:cs="Arial"/>
                <w:sz w:val="20"/>
              </w:rPr>
            </w:pPr>
            <w:r>
              <w:rPr>
                <w:rFonts w:cs="Arial" w:ascii="Arial" w:hAnsi="Arial"/>
                <w:sz w:val="20"/>
              </w:rPr>
              <w:t>1999</w:t>
            </w:r>
          </w:p>
        </w:tc>
      </w:tr>
      <w:tr>
        <w:trPr/>
        <w:tc>
          <w:tcPr>
            <w:tcW w:w="6138" w:type="dxa"/>
            <w:tcBorders/>
          </w:tcPr>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s>
              <w:snapToGrid w:val="false"/>
              <w:jc w:val="center"/>
              <w:rPr>
                <w:rFonts w:ascii="Arial" w:hAnsi="Arial" w:cs="Arial"/>
                <w:b/>
                <w:sz w:val="20"/>
                <w:u w:val="single"/>
              </w:rPr>
            </w:pPr>
            <w:r>
              <w:rPr>
                <w:rFonts w:cs="Arial" w:ascii="Arial" w:hAnsi="Arial"/>
                <w:b/>
                <w:sz w:val="20"/>
                <w:u w:val="single"/>
              </w:rPr>
            </w:r>
          </w:p>
        </w:tc>
        <w:tc>
          <w:tcPr>
            <w:tcW w:w="1800" w:type="dxa"/>
            <w:tcBorders/>
          </w:tcPr>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s>
              <w:jc w:val="center"/>
              <w:rPr>
                <w:rFonts w:ascii="Arial" w:hAnsi="Arial" w:cs="Arial"/>
                <w:sz w:val="20"/>
              </w:rPr>
            </w:pPr>
            <w:r>
              <w:rPr>
                <w:rFonts w:cs="Arial" w:ascii="Arial" w:hAnsi="Arial"/>
                <w:sz w:val="20"/>
              </w:rPr>
              <w:t>(Unaudited)</w:t>
            </w:r>
          </w:p>
        </w:tc>
        <w:tc>
          <w:tcPr>
            <w:tcW w:w="360" w:type="dxa"/>
            <w:tcBorders/>
          </w:tcPr>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s>
              <w:snapToGrid w:val="false"/>
              <w:jc w:val="center"/>
              <w:rPr>
                <w:rFonts w:ascii="Arial" w:hAnsi="Arial" w:cs="Arial"/>
                <w:sz w:val="20"/>
              </w:rPr>
            </w:pPr>
            <w:r>
              <w:rPr>
                <w:rFonts w:cs="Arial" w:ascii="Arial" w:hAnsi="Arial"/>
                <w:sz w:val="20"/>
              </w:rPr>
            </w:r>
          </w:p>
        </w:tc>
        <w:tc>
          <w:tcPr>
            <w:tcW w:w="1620" w:type="dxa"/>
            <w:tcBorders/>
          </w:tcPr>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s>
              <w:snapToGrid w:val="false"/>
              <w:jc w:val="center"/>
              <w:rPr>
                <w:rFonts w:ascii="Arial" w:hAnsi="Arial" w:cs="Arial"/>
                <w:sz w:val="20"/>
              </w:rPr>
            </w:pPr>
            <w:r>
              <w:rPr>
                <w:rFonts w:cs="Arial" w:ascii="Arial" w:hAnsi="Arial"/>
                <w:sz w:val="20"/>
              </w:rPr>
            </w:r>
          </w:p>
        </w:tc>
      </w:tr>
      <w:tr>
        <w:trPr/>
        <w:tc>
          <w:tcPr>
            <w:tcW w:w="6138" w:type="dxa"/>
            <w:tcBorders/>
          </w:tcPr>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s>
              <w:jc w:val="center"/>
              <w:rPr>
                <w:rFonts w:ascii="Arial" w:hAnsi="Arial" w:cs="Arial"/>
                <w:sz w:val="20"/>
              </w:rPr>
            </w:pPr>
            <w:r>
              <w:rPr>
                <w:rFonts w:cs="Arial" w:ascii="Arial" w:hAnsi="Arial"/>
                <w:b/>
                <w:sz w:val="20"/>
                <w:u w:val="single"/>
              </w:rPr>
              <w:t>ASSETS</w:t>
            </w:r>
          </w:p>
        </w:tc>
        <w:tc>
          <w:tcPr>
            <w:tcW w:w="1800" w:type="dxa"/>
            <w:tcBorders/>
          </w:tcPr>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 w:val="decimal" w:pos="754" w:leader="none"/>
                <w:tab w:val="decimal" w:pos="1358" w:leader="none"/>
              </w:tabs>
              <w:snapToGrid w:val="false"/>
              <w:rPr>
                <w:rFonts w:ascii="Arial" w:hAnsi="Arial" w:cs="Arial"/>
                <w:sz w:val="20"/>
              </w:rPr>
            </w:pPr>
            <w:r>
              <w:rPr>
                <w:rFonts w:cs="Arial" w:ascii="Arial" w:hAnsi="Arial"/>
                <w:sz w:val="20"/>
              </w:rPr>
            </w:r>
          </w:p>
        </w:tc>
        <w:tc>
          <w:tcPr>
            <w:tcW w:w="360" w:type="dxa"/>
            <w:tcBorders/>
          </w:tcPr>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 w:val="decimal" w:pos="754" w:leader="none"/>
                <w:tab w:val="decimal" w:pos="934" w:leader="none"/>
              </w:tabs>
              <w:snapToGrid w:val="false"/>
              <w:rPr>
                <w:rFonts w:ascii="Arial" w:hAnsi="Arial" w:cs="Arial"/>
                <w:sz w:val="20"/>
              </w:rPr>
            </w:pPr>
            <w:r>
              <w:rPr>
                <w:rFonts w:cs="Arial" w:ascii="Arial" w:hAnsi="Arial"/>
                <w:sz w:val="20"/>
              </w:rPr>
            </w:r>
          </w:p>
        </w:tc>
        <w:tc>
          <w:tcPr>
            <w:tcW w:w="1620" w:type="dxa"/>
            <w:tcBorders/>
          </w:tcPr>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 w:val="decimal" w:pos="754" w:leader="none"/>
                <w:tab w:val="decimal" w:pos="934" w:leader="none"/>
              </w:tabs>
              <w:snapToGrid w:val="false"/>
              <w:rPr>
                <w:rFonts w:ascii="Arial" w:hAnsi="Arial" w:cs="Arial"/>
                <w:sz w:val="20"/>
              </w:rPr>
            </w:pPr>
            <w:r>
              <w:rPr>
                <w:rFonts w:cs="Arial" w:ascii="Arial" w:hAnsi="Arial"/>
                <w:sz w:val="20"/>
              </w:rPr>
            </w:r>
          </w:p>
        </w:tc>
      </w:tr>
      <w:tr>
        <w:trPr/>
        <w:tc>
          <w:tcPr>
            <w:tcW w:w="6138" w:type="dxa"/>
            <w:tcBorders/>
          </w:tcPr>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s>
              <w:rPr>
                <w:rFonts w:ascii="Arial" w:hAnsi="Arial" w:cs="Arial"/>
                <w:sz w:val="20"/>
              </w:rPr>
            </w:pPr>
            <w:r>
              <w:rPr>
                <w:rFonts w:cs="Arial" w:ascii="Arial" w:hAnsi="Arial"/>
                <w:sz w:val="20"/>
              </w:rPr>
              <w:t>CURRENT ASSETS:</w:t>
            </w:r>
          </w:p>
        </w:tc>
        <w:tc>
          <w:tcPr>
            <w:tcW w:w="1800" w:type="dxa"/>
            <w:tcBorders/>
          </w:tcPr>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 w:val="decimal" w:pos="754" w:leader="none"/>
                <w:tab w:val="decimal" w:pos="1358" w:leader="none"/>
              </w:tabs>
              <w:snapToGrid w:val="false"/>
              <w:rPr>
                <w:rFonts w:ascii="Arial" w:hAnsi="Arial" w:cs="Arial"/>
                <w:sz w:val="20"/>
              </w:rPr>
            </w:pPr>
            <w:r>
              <w:rPr>
                <w:rFonts w:cs="Arial" w:ascii="Arial" w:hAnsi="Arial"/>
                <w:sz w:val="20"/>
              </w:rPr>
            </w:r>
          </w:p>
        </w:tc>
        <w:tc>
          <w:tcPr>
            <w:tcW w:w="360" w:type="dxa"/>
            <w:tcBorders/>
          </w:tcPr>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 w:val="decimal" w:pos="754" w:leader="none"/>
                <w:tab w:val="decimal" w:pos="934" w:leader="none"/>
              </w:tabs>
              <w:snapToGrid w:val="false"/>
              <w:rPr>
                <w:rFonts w:ascii="Arial" w:hAnsi="Arial" w:cs="Arial"/>
                <w:sz w:val="20"/>
              </w:rPr>
            </w:pPr>
            <w:r>
              <w:rPr>
                <w:rFonts w:cs="Arial" w:ascii="Arial" w:hAnsi="Arial"/>
                <w:sz w:val="20"/>
              </w:rPr>
            </w:r>
          </w:p>
        </w:tc>
        <w:tc>
          <w:tcPr>
            <w:tcW w:w="1620" w:type="dxa"/>
            <w:tcBorders/>
          </w:tcPr>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 w:val="decimal" w:pos="754" w:leader="none"/>
                <w:tab w:val="decimal" w:pos="934" w:leader="none"/>
              </w:tabs>
              <w:snapToGrid w:val="false"/>
              <w:rPr>
                <w:rFonts w:ascii="Arial" w:hAnsi="Arial" w:cs="Arial"/>
                <w:sz w:val="20"/>
              </w:rPr>
            </w:pPr>
            <w:r>
              <w:rPr>
                <w:rFonts w:cs="Arial" w:ascii="Arial" w:hAnsi="Arial"/>
                <w:sz w:val="20"/>
              </w:rPr>
            </w:r>
          </w:p>
        </w:tc>
      </w:tr>
      <w:tr>
        <w:trPr/>
        <w:tc>
          <w:tcPr>
            <w:tcW w:w="6138" w:type="dxa"/>
            <w:tcBorders/>
          </w:tcPr>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s>
              <w:ind w:start="360" w:end="0"/>
              <w:rPr>
                <w:rFonts w:ascii="Arial" w:hAnsi="Arial" w:cs="Arial"/>
                <w:sz w:val="20"/>
              </w:rPr>
            </w:pPr>
            <w:r>
              <w:rPr>
                <w:rFonts w:cs="Arial" w:ascii="Arial" w:hAnsi="Arial"/>
                <w:sz w:val="20"/>
              </w:rPr>
              <w:t xml:space="preserve">Cash and cash equivalents </w:t>
            </w:r>
          </w:p>
        </w:tc>
        <w:tc>
          <w:tcPr>
            <w:tcW w:w="1800" w:type="dxa"/>
            <w:tcBorders/>
          </w:tcPr>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 w:val="right" w:pos="1062" w:leader="none"/>
                <w:tab w:val="decimal" w:pos="1422" w:leader="none"/>
              </w:tabs>
              <w:rPr>
                <w:rFonts w:ascii="Arial" w:hAnsi="Arial" w:cs="Arial"/>
                <w:sz w:val="20"/>
              </w:rPr>
            </w:pPr>
            <w:r>
              <w:rPr>
                <w:rFonts w:cs="Arial" w:ascii="Arial" w:hAnsi="Arial"/>
                <w:sz w:val="20"/>
              </w:rPr>
              <w:tab/>
              <w:t>$       2,389</w:t>
            </w:r>
          </w:p>
        </w:tc>
        <w:tc>
          <w:tcPr>
            <w:tcW w:w="360" w:type="dxa"/>
            <w:tcBorders/>
          </w:tcPr>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 w:val="decimal" w:pos="1024" w:leader="none"/>
              </w:tabs>
              <w:snapToGrid w:val="false"/>
              <w:rPr>
                <w:rFonts w:ascii="Arial" w:hAnsi="Arial" w:cs="Arial"/>
                <w:sz w:val="20"/>
              </w:rPr>
            </w:pPr>
            <w:r>
              <w:rPr>
                <w:rFonts w:cs="Arial" w:ascii="Arial" w:hAnsi="Arial"/>
                <w:sz w:val="20"/>
              </w:rPr>
            </w:r>
          </w:p>
        </w:tc>
        <w:tc>
          <w:tcPr>
            <w:tcW w:w="1620" w:type="dxa"/>
            <w:tcBorders/>
          </w:tcPr>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 w:val="decimal" w:pos="1024" w:leader="none"/>
              </w:tabs>
              <w:rPr>
                <w:rFonts w:ascii="Arial" w:hAnsi="Arial" w:cs="Arial"/>
                <w:sz w:val="20"/>
              </w:rPr>
            </w:pPr>
            <w:r>
              <w:rPr>
                <w:rFonts w:cs="Arial" w:ascii="Arial" w:hAnsi="Arial"/>
                <w:sz w:val="20"/>
              </w:rPr>
              <w:t>$  123</w:t>
            </w:r>
          </w:p>
        </w:tc>
      </w:tr>
      <w:tr>
        <w:trPr/>
        <w:tc>
          <w:tcPr>
            <w:tcW w:w="6138" w:type="dxa"/>
            <w:tcBorders/>
          </w:tcPr>
          <w:p>
            <w:pPr>
              <w:pStyle w:val="Normal"/>
              <w:ind w:start="360" w:end="0"/>
              <w:rPr>
                <w:rFonts w:ascii="Arial" w:hAnsi="Arial" w:cs="Arial"/>
                <w:sz w:val="20"/>
              </w:rPr>
            </w:pPr>
            <w:r>
              <w:rPr>
                <w:rFonts w:cs="Arial" w:ascii="Arial" w:hAnsi="Arial"/>
                <w:sz w:val="20"/>
              </w:rPr>
              <w:t>Receivables</w:t>
            </w:r>
          </w:p>
        </w:tc>
        <w:tc>
          <w:tcPr>
            <w:tcW w:w="1800" w:type="dxa"/>
            <w:tcBorders/>
          </w:tcPr>
          <w:p>
            <w:pPr>
              <w:pStyle w:val="Normal"/>
              <w:tabs>
                <w:tab w:val="clear" w:pos="720"/>
                <w:tab w:val="right" w:pos="1062" w:leader="none"/>
                <w:tab w:val="decimal" w:pos="1422" w:leader="none"/>
              </w:tabs>
              <w:rPr>
                <w:rFonts w:ascii="Arial" w:hAnsi="Arial" w:cs="Arial"/>
                <w:sz w:val="20"/>
              </w:rPr>
            </w:pPr>
            <w:r>
              <w:rPr>
                <w:rFonts w:cs="Arial" w:ascii="Arial" w:hAnsi="Arial"/>
                <w:sz w:val="20"/>
              </w:rPr>
              <w:tab/>
              <w:t>38,963</w:t>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tcPr>
          <w:p>
            <w:pPr>
              <w:pStyle w:val="Normal"/>
              <w:tabs>
                <w:tab w:val="clear" w:pos="720"/>
                <w:tab w:val="decimal" w:pos="1024" w:leader="none"/>
              </w:tabs>
              <w:rPr>
                <w:rFonts w:ascii="Arial" w:hAnsi="Arial" w:cs="Arial"/>
                <w:sz w:val="20"/>
              </w:rPr>
            </w:pPr>
            <w:r>
              <w:rPr>
                <w:rFonts w:eastAsia="Arial" w:cs="Arial" w:ascii="Arial" w:hAnsi="Arial"/>
                <w:sz w:val="20"/>
              </w:rPr>
              <w:t xml:space="preserve">  </w:t>
            </w:r>
            <w:r>
              <w:rPr>
                <w:rFonts w:cs="Arial" w:ascii="Arial" w:hAnsi="Arial"/>
                <w:sz w:val="20"/>
              </w:rPr>
              <w:t>23,683</w:t>
            </w:r>
          </w:p>
        </w:tc>
      </w:tr>
      <w:tr>
        <w:trPr/>
        <w:tc>
          <w:tcPr>
            <w:tcW w:w="6138" w:type="dxa"/>
            <w:tcBorders/>
          </w:tcPr>
          <w:p>
            <w:pPr>
              <w:pStyle w:val="Normal"/>
              <w:ind w:start="360" w:end="0"/>
              <w:rPr>
                <w:rFonts w:ascii="Arial" w:hAnsi="Arial" w:cs="Arial"/>
                <w:sz w:val="20"/>
              </w:rPr>
            </w:pPr>
            <w:r>
              <w:rPr>
                <w:rFonts w:cs="Arial" w:ascii="Arial" w:hAnsi="Arial"/>
                <w:sz w:val="20"/>
              </w:rPr>
              <w:t>Prepaid expenses and other</w:t>
            </w:r>
          </w:p>
        </w:tc>
        <w:tc>
          <w:tcPr>
            <w:tcW w:w="1800" w:type="dxa"/>
            <w:tcBorders/>
          </w:tcPr>
          <w:p>
            <w:pPr>
              <w:pStyle w:val="Normal"/>
              <w:tabs>
                <w:tab w:val="clear" w:pos="720"/>
                <w:tab w:val="right" w:pos="1062" w:leader="none"/>
                <w:tab w:val="decimal" w:pos="1422" w:leader="none"/>
              </w:tabs>
              <w:rPr>
                <w:rFonts w:ascii="Arial" w:hAnsi="Arial" w:cs="Arial"/>
                <w:sz w:val="20"/>
              </w:rPr>
            </w:pPr>
            <w:r>
              <w:rPr>
                <w:rFonts w:cs="Arial" w:ascii="Arial" w:hAnsi="Arial"/>
                <w:sz w:val="20"/>
              </w:rPr>
              <w:tab/>
              <w:t>5,991</w:t>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tcPr>
          <w:p>
            <w:pPr>
              <w:pStyle w:val="Normal"/>
              <w:tabs>
                <w:tab w:val="clear" w:pos="720"/>
                <w:tab w:val="decimal" w:pos="1024" w:leader="none"/>
              </w:tabs>
              <w:rPr>
                <w:rFonts w:ascii="Arial" w:hAnsi="Arial" w:cs="Arial"/>
                <w:sz w:val="20"/>
              </w:rPr>
            </w:pPr>
            <w:r>
              <w:rPr>
                <w:rFonts w:cs="Arial" w:ascii="Arial" w:hAnsi="Arial"/>
                <w:sz w:val="20"/>
              </w:rPr>
              <w:t>4,891</w:t>
            </w:r>
          </w:p>
        </w:tc>
      </w:tr>
      <w:tr>
        <w:trPr/>
        <w:tc>
          <w:tcPr>
            <w:tcW w:w="6138" w:type="dxa"/>
            <w:tcBorders/>
          </w:tcPr>
          <w:p>
            <w:pPr>
              <w:pStyle w:val="Normal"/>
              <w:ind w:start="900" w:end="0"/>
              <w:rPr>
                <w:rFonts w:ascii="Arial" w:hAnsi="Arial" w:cs="Arial"/>
                <w:sz w:val="20"/>
              </w:rPr>
            </w:pPr>
            <w:r>
              <w:rPr>
                <w:rFonts w:cs="Arial" w:ascii="Arial" w:hAnsi="Arial"/>
                <w:sz w:val="20"/>
              </w:rPr>
              <w:t>Total current assets</w:t>
            </w:r>
          </w:p>
        </w:tc>
        <w:tc>
          <w:tcPr>
            <w:tcW w:w="1800" w:type="dxa"/>
            <w:tcBorders>
              <w:top w:val="single" w:sz="4" w:space="0" w:color="000000"/>
              <w:bottom w:val="single" w:sz="4" w:space="0" w:color="000000"/>
            </w:tcBorders>
          </w:tcPr>
          <w:p>
            <w:pPr>
              <w:pStyle w:val="Normal"/>
              <w:tabs>
                <w:tab w:val="clear" w:pos="720"/>
                <w:tab w:val="right" w:pos="1062" w:leader="none"/>
                <w:tab w:val="decimal" w:pos="1422" w:leader="none"/>
              </w:tabs>
              <w:rPr>
                <w:rFonts w:ascii="Arial" w:hAnsi="Arial" w:cs="Arial"/>
                <w:sz w:val="20"/>
              </w:rPr>
            </w:pPr>
            <w:r>
              <w:rPr>
                <w:rFonts w:cs="Arial" w:ascii="Arial" w:hAnsi="Arial"/>
                <w:sz w:val="20"/>
              </w:rPr>
              <w:tab/>
              <w:t>47,343</w:t>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top w:val="single" w:sz="4" w:space="0" w:color="000000"/>
              <w:bottom w:val="single" w:sz="4" w:space="0" w:color="000000"/>
            </w:tcBorders>
          </w:tcPr>
          <w:p>
            <w:pPr>
              <w:pStyle w:val="Normal"/>
              <w:tabs>
                <w:tab w:val="clear" w:pos="720"/>
                <w:tab w:val="decimal" w:pos="1024" w:leader="none"/>
              </w:tabs>
              <w:rPr>
                <w:rFonts w:ascii="Arial" w:hAnsi="Arial" w:cs="Arial"/>
                <w:sz w:val="20"/>
              </w:rPr>
            </w:pPr>
            <w:r>
              <w:rPr>
                <w:rFonts w:cs="Arial" w:ascii="Arial" w:hAnsi="Arial"/>
                <w:sz w:val="20"/>
              </w:rPr>
              <w:t>28,697</w:t>
            </w:r>
          </w:p>
        </w:tc>
      </w:tr>
      <w:tr>
        <w:trPr/>
        <w:tc>
          <w:tcPr>
            <w:tcW w:w="6138" w:type="dxa"/>
            <w:tcBorders/>
          </w:tcPr>
          <w:p>
            <w:pPr>
              <w:pStyle w:val="Normal"/>
              <w:rPr>
                <w:rFonts w:ascii="Arial" w:hAnsi="Arial" w:cs="Arial"/>
                <w:sz w:val="20"/>
              </w:rPr>
            </w:pPr>
            <w:r>
              <w:rPr>
                <w:rFonts w:cs="Arial" w:ascii="Arial" w:hAnsi="Arial"/>
                <w:sz w:val="20"/>
              </w:rPr>
              <w:t>PROPERTY AND EQUIPMENT:</w:t>
            </w:r>
          </w:p>
        </w:tc>
        <w:tc>
          <w:tcPr>
            <w:tcW w:w="1800" w:type="dxa"/>
            <w:tcBorders/>
          </w:tcPr>
          <w:p>
            <w:pPr>
              <w:pStyle w:val="Normal"/>
              <w:tabs>
                <w:tab w:val="clear" w:pos="720"/>
                <w:tab w:val="right" w:pos="1062" w:leader="none"/>
                <w:tab w:val="decimal" w:pos="1422" w:leader="none"/>
              </w:tabs>
              <w:snapToGrid w:val="false"/>
              <w:rPr>
                <w:rFonts w:ascii="Arial" w:hAnsi="Arial" w:cs="Arial"/>
                <w:sz w:val="20"/>
              </w:rPr>
            </w:pPr>
            <w:r>
              <w:rPr>
                <w:rFonts w:cs="Arial" w:ascii="Arial" w:hAnsi="Arial"/>
                <w:sz w:val="20"/>
              </w:rPr>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r>
      <w:tr>
        <w:trPr/>
        <w:tc>
          <w:tcPr>
            <w:tcW w:w="6138" w:type="dxa"/>
            <w:tcBorders/>
          </w:tcPr>
          <w:p>
            <w:pPr>
              <w:pStyle w:val="Normal"/>
              <w:ind w:start="360" w:end="0"/>
              <w:rPr>
                <w:rFonts w:ascii="Arial" w:hAnsi="Arial" w:cs="Arial"/>
                <w:sz w:val="20"/>
              </w:rPr>
            </w:pPr>
            <w:r>
              <w:rPr>
                <w:rFonts w:cs="Arial" w:ascii="Arial" w:hAnsi="Arial"/>
                <w:sz w:val="20"/>
              </w:rPr>
              <w:t>Oil and gas properties, at full cost:</w:t>
            </w:r>
          </w:p>
        </w:tc>
        <w:tc>
          <w:tcPr>
            <w:tcW w:w="1800" w:type="dxa"/>
            <w:tcBorders/>
          </w:tcPr>
          <w:p>
            <w:pPr>
              <w:pStyle w:val="Normal"/>
              <w:tabs>
                <w:tab w:val="clear" w:pos="720"/>
                <w:tab w:val="right" w:pos="1062" w:leader="none"/>
                <w:tab w:val="decimal" w:pos="1422" w:leader="none"/>
              </w:tabs>
              <w:snapToGrid w:val="false"/>
              <w:rPr>
                <w:rFonts w:ascii="Arial" w:hAnsi="Arial" w:cs="Arial"/>
                <w:sz w:val="20"/>
              </w:rPr>
            </w:pPr>
            <w:r>
              <w:rPr>
                <w:rFonts w:cs="Arial" w:ascii="Arial" w:hAnsi="Arial"/>
                <w:sz w:val="20"/>
              </w:rPr>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r>
      <w:tr>
        <w:trPr/>
        <w:tc>
          <w:tcPr>
            <w:tcW w:w="6138" w:type="dxa"/>
            <w:tcBorders/>
          </w:tcPr>
          <w:p>
            <w:pPr>
              <w:pStyle w:val="Normal"/>
              <w:ind w:start="900" w:end="0"/>
              <w:rPr>
                <w:rFonts w:ascii="Arial" w:hAnsi="Arial" w:cs="Arial"/>
                <w:sz w:val="20"/>
              </w:rPr>
            </w:pPr>
            <w:r>
              <w:rPr>
                <w:rFonts w:cs="Arial" w:ascii="Arial" w:hAnsi="Arial"/>
                <w:sz w:val="20"/>
              </w:rPr>
              <w:t>Proved</w:t>
            </w:r>
          </w:p>
        </w:tc>
        <w:tc>
          <w:tcPr>
            <w:tcW w:w="1800" w:type="dxa"/>
            <w:tcBorders/>
          </w:tcPr>
          <w:p>
            <w:pPr>
              <w:pStyle w:val="Normal"/>
              <w:tabs>
                <w:tab w:val="clear" w:pos="720"/>
                <w:tab w:val="right" w:pos="1062" w:leader="none"/>
                <w:tab w:val="decimal" w:pos="1422" w:leader="none"/>
              </w:tabs>
              <w:rPr>
                <w:rFonts w:ascii="Arial" w:hAnsi="Arial" w:cs="Arial"/>
                <w:sz w:val="20"/>
              </w:rPr>
            </w:pPr>
            <w:r>
              <w:rPr>
                <w:rFonts w:cs="Arial" w:ascii="Arial" w:hAnsi="Arial"/>
                <w:sz w:val="20"/>
              </w:rPr>
              <w:tab/>
              <w:t>478,596</w:t>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tcPr>
          <w:p>
            <w:pPr>
              <w:pStyle w:val="Normal"/>
              <w:tabs>
                <w:tab w:val="clear" w:pos="720"/>
                <w:tab w:val="decimal" w:pos="1024" w:leader="none"/>
              </w:tabs>
              <w:rPr>
                <w:rFonts w:ascii="Arial" w:hAnsi="Arial" w:cs="Arial"/>
                <w:sz w:val="20"/>
              </w:rPr>
            </w:pPr>
            <w:r>
              <w:rPr>
                <w:rFonts w:cs="Arial" w:ascii="Arial" w:hAnsi="Arial"/>
                <w:sz w:val="20"/>
              </w:rPr>
              <w:t>379,301</w:t>
            </w:r>
          </w:p>
        </w:tc>
      </w:tr>
      <w:tr>
        <w:trPr/>
        <w:tc>
          <w:tcPr>
            <w:tcW w:w="6138" w:type="dxa"/>
            <w:tcBorders/>
          </w:tcPr>
          <w:p>
            <w:pPr>
              <w:pStyle w:val="Normal"/>
              <w:ind w:start="900" w:end="0"/>
              <w:rPr>
                <w:rFonts w:ascii="Arial" w:hAnsi="Arial" w:cs="Arial"/>
                <w:sz w:val="20"/>
              </w:rPr>
            </w:pPr>
            <w:r>
              <w:rPr>
                <w:rFonts w:cs="Arial" w:ascii="Arial" w:hAnsi="Arial"/>
                <w:sz w:val="20"/>
              </w:rPr>
              <w:t>Unproved, not subject to amortization</w:t>
            </w:r>
          </w:p>
        </w:tc>
        <w:tc>
          <w:tcPr>
            <w:tcW w:w="1800" w:type="dxa"/>
            <w:tcBorders>
              <w:bottom w:val="single" w:sz="4" w:space="0" w:color="000000"/>
            </w:tcBorders>
          </w:tcPr>
          <w:p>
            <w:pPr>
              <w:pStyle w:val="Normal"/>
              <w:tabs>
                <w:tab w:val="clear" w:pos="720"/>
                <w:tab w:val="right" w:pos="1062" w:leader="none"/>
                <w:tab w:val="decimal" w:pos="1422" w:leader="none"/>
              </w:tabs>
              <w:rPr>
                <w:rFonts w:ascii="Arial" w:hAnsi="Arial" w:cs="Arial"/>
                <w:sz w:val="20"/>
              </w:rPr>
            </w:pPr>
            <w:r>
              <w:rPr>
                <w:rFonts w:cs="Arial" w:ascii="Arial" w:hAnsi="Arial"/>
                <w:sz w:val="20"/>
              </w:rPr>
              <w:tab/>
              <w:t>61,068</w:t>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bottom w:val="single" w:sz="4" w:space="0" w:color="000000"/>
            </w:tcBorders>
          </w:tcPr>
          <w:p>
            <w:pPr>
              <w:pStyle w:val="Normal"/>
              <w:tabs>
                <w:tab w:val="clear" w:pos="720"/>
                <w:tab w:val="decimal" w:pos="1024" w:leader="none"/>
              </w:tabs>
              <w:rPr>
                <w:rFonts w:ascii="Arial" w:hAnsi="Arial" w:cs="Arial"/>
                <w:sz w:val="20"/>
              </w:rPr>
            </w:pPr>
            <w:r>
              <w:rPr>
                <w:rFonts w:cs="Arial" w:ascii="Arial" w:hAnsi="Arial"/>
                <w:sz w:val="20"/>
              </w:rPr>
              <w:t>81,897</w:t>
            </w:r>
          </w:p>
        </w:tc>
      </w:tr>
      <w:tr>
        <w:trPr/>
        <w:tc>
          <w:tcPr>
            <w:tcW w:w="6138" w:type="dxa"/>
            <w:tcBorders/>
          </w:tcPr>
          <w:p>
            <w:pPr>
              <w:pStyle w:val="Normal"/>
              <w:ind w:start="1260" w:end="0"/>
              <w:rPr>
                <w:rFonts w:ascii="Arial" w:hAnsi="Arial" w:cs="Arial"/>
                <w:sz w:val="20"/>
              </w:rPr>
            </w:pPr>
            <w:r>
              <w:rPr>
                <w:rFonts w:cs="Arial" w:ascii="Arial" w:hAnsi="Arial"/>
                <w:sz w:val="20"/>
              </w:rPr>
              <w:t>Total</w:t>
            </w:r>
          </w:p>
        </w:tc>
        <w:tc>
          <w:tcPr>
            <w:tcW w:w="1800" w:type="dxa"/>
            <w:tcBorders/>
          </w:tcPr>
          <w:p>
            <w:pPr>
              <w:pStyle w:val="Normal"/>
              <w:tabs>
                <w:tab w:val="clear" w:pos="720"/>
                <w:tab w:val="right" w:pos="1062" w:leader="none"/>
                <w:tab w:val="decimal" w:pos="1422" w:leader="none"/>
              </w:tabs>
              <w:rPr>
                <w:rFonts w:ascii="Arial" w:hAnsi="Arial" w:cs="Arial"/>
                <w:sz w:val="20"/>
              </w:rPr>
            </w:pPr>
            <w:r>
              <w:rPr>
                <w:rFonts w:cs="Arial" w:ascii="Arial" w:hAnsi="Arial"/>
                <w:sz w:val="20"/>
              </w:rPr>
              <w:tab/>
              <w:t>539,664</w:t>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tcPr>
          <w:p>
            <w:pPr>
              <w:pStyle w:val="Normal"/>
              <w:tabs>
                <w:tab w:val="clear" w:pos="720"/>
                <w:tab w:val="decimal" w:pos="1024" w:leader="none"/>
              </w:tabs>
              <w:rPr>
                <w:rFonts w:ascii="Arial" w:hAnsi="Arial" w:cs="Arial"/>
                <w:sz w:val="20"/>
              </w:rPr>
            </w:pPr>
            <w:r>
              <w:rPr>
                <w:rFonts w:cs="Arial" w:ascii="Arial" w:hAnsi="Arial"/>
                <w:sz w:val="20"/>
              </w:rPr>
              <w:t>461,198</w:t>
            </w:r>
          </w:p>
        </w:tc>
      </w:tr>
      <w:tr>
        <w:trPr/>
        <w:tc>
          <w:tcPr>
            <w:tcW w:w="6138" w:type="dxa"/>
            <w:tcBorders/>
          </w:tcPr>
          <w:p>
            <w:pPr>
              <w:pStyle w:val="Normal"/>
              <w:ind w:start="900" w:end="0"/>
              <w:rPr>
                <w:rFonts w:ascii="Arial" w:hAnsi="Arial" w:cs="Arial"/>
                <w:sz w:val="20"/>
              </w:rPr>
            </w:pPr>
            <w:r>
              <w:rPr>
                <w:rFonts w:cs="Arial" w:ascii="Arial" w:hAnsi="Arial"/>
                <w:sz w:val="20"/>
              </w:rPr>
              <w:t>Other property and equipment</w:t>
            </w:r>
          </w:p>
        </w:tc>
        <w:tc>
          <w:tcPr>
            <w:tcW w:w="1800" w:type="dxa"/>
            <w:tcBorders/>
          </w:tcPr>
          <w:p>
            <w:pPr>
              <w:pStyle w:val="Normal"/>
              <w:tabs>
                <w:tab w:val="clear" w:pos="720"/>
                <w:tab w:val="right" w:pos="1062" w:leader="none"/>
                <w:tab w:val="decimal" w:pos="1422" w:leader="none"/>
              </w:tabs>
              <w:rPr>
                <w:rFonts w:ascii="Arial" w:hAnsi="Arial" w:cs="Arial"/>
                <w:sz w:val="20"/>
              </w:rPr>
            </w:pPr>
            <w:r>
              <w:rPr>
                <w:rFonts w:cs="Arial" w:ascii="Arial" w:hAnsi="Arial"/>
                <w:sz w:val="20"/>
              </w:rPr>
              <w:tab/>
              <w:t>4,592</w:t>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tcPr>
          <w:p>
            <w:pPr>
              <w:pStyle w:val="Normal"/>
              <w:tabs>
                <w:tab w:val="clear" w:pos="720"/>
                <w:tab w:val="decimal" w:pos="1024" w:leader="none"/>
              </w:tabs>
              <w:rPr>
                <w:rFonts w:ascii="Arial" w:hAnsi="Arial" w:cs="Arial"/>
                <w:sz w:val="20"/>
              </w:rPr>
            </w:pPr>
            <w:r>
              <w:rPr>
                <w:rFonts w:cs="Arial" w:ascii="Arial" w:hAnsi="Arial"/>
                <w:sz w:val="20"/>
              </w:rPr>
              <w:t>3,982</w:t>
            </w:r>
          </w:p>
        </w:tc>
      </w:tr>
      <w:tr>
        <w:trPr/>
        <w:tc>
          <w:tcPr>
            <w:tcW w:w="6138" w:type="dxa"/>
            <w:tcBorders/>
          </w:tcPr>
          <w:p>
            <w:pPr>
              <w:pStyle w:val="Normal"/>
              <w:ind w:start="360" w:end="0"/>
              <w:rPr>
                <w:rFonts w:ascii="Arial" w:hAnsi="Arial" w:cs="Arial"/>
                <w:sz w:val="20"/>
              </w:rPr>
            </w:pPr>
            <w:r>
              <w:rPr>
                <w:rFonts w:cs="Arial" w:ascii="Arial" w:hAnsi="Arial"/>
                <w:sz w:val="20"/>
              </w:rPr>
              <w:t>Accumulated depreciation, depletion and amortization</w:t>
            </w:r>
          </w:p>
        </w:tc>
        <w:tc>
          <w:tcPr>
            <w:tcW w:w="1800" w:type="dxa"/>
            <w:tcBorders/>
          </w:tcPr>
          <w:p>
            <w:pPr>
              <w:pStyle w:val="Normal"/>
              <w:tabs>
                <w:tab w:val="clear" w:pos="720"/>
                <w:tab w:val="decimal" w:pos="1024" w:leader="none"/>
              </w:tabs>
              <w:rPr>
                <w:rFonts w:ascii="Arial" w:hAnsi="Arial" w:cs="Arial"/>
                <w:sz w:val="20"/>
              </w:rPr>
            </w:pPr>
            <w:r>
              <w:rPr>
                <w:rFonts w:cs="Arial" w:ascii="Arial" w:hAnsi="Arial"/>
                <w:sz w:val="20"/>
              </w:rPr>
              <w:t>(254,396)</w:t>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tcPr>
          <w:p>
            <w:pPr>
              <w:pStyle w:val="Normal"/>
              <w:tabs>
                <w:tab w:val="clear" w:pos="720"/>
                <w:tab w:val="decimal" w:pos="1024" w:leader="none"/>
              </w:tabs>
              <w:rPr>
                <w:rFonts w:ascii="Arial" w:hAnsi="Arial" w:cs="Arial"/>
                <w:sz w:val="20"/>
              </w:rPr>
            </w:pPr>
            <w:r>
              <w:rPr>
                <w:rFonts w:cs="Arial" w:ascii="Arial" w:hAnsi="Arial"/>
                <w:sz w:val="20"/>
              </w:rPr>
              <w:t>(199,233)</w:t>
            </w:r>
          </w:p>
        </w:tc>
      </w:tr>
      <w:tr>
        <w:trPr/>
        <w:tc>
          <w:tcPr>
            <w:tcW w:w="6138" w:type="dxa"/>
            <w:tcBorders/>
          </w:tcPr>
          <w:p>
            <w:pPr>
              <w:pStyle w:val="Normal"/>
              <w:ind w:start="900" w:end="0"/>
              <w:rPr>
                <w:rFonts w:ascii="Arial" w:hAnsi="Arial" w:cs="Arial"/>
                <w:sz w:val="20"/>
              </w:rPr>
            </w:pPr>
            <w:r>
              <w:rPr>
                <w:rFonts w:cs="Arial" w:ascii="Arial" w:hAnsi="Arial"/>
                <w:sz w:val="20"/>
              </w:rPr>
              <w:t>Total property and equipment, net</w:t>
            </w:r>
          </w:p>
        </w:tc>
        <w:tc>
          <w:tcPr>
            <w:tcW w:w="1800" w:type="dxa"/>
            <w:tcBorders>
              <w:top w:val="single" w:sz="4" w:space="0" w:color="000000"/>
              <w:bottom w:val="single" w:sz="4" w:space="0" w:color="000000"/>
            </w:tcBorders>
          </w:tcPr>
          <w:p>
            <w:pPr>
              <w:pStyle w:val="Normal"/>
              <w:tabs>
                <w:tab w:val="clear" w:pos="720"/>
                <w:tab w:val="right" w:pos="1062" w:leader="none"/>
                <w:tab w:val="decimal" w:pos="1422" w:leader="none"/>
              </w:tabs>
              <w:rPr>
                <w:rFonts w:ascii="Arial" w:hAnsi="Arial" w:cs="Arial"/>
                <w:sz w:val="20"/>
              </w:rPr>
            </w:pPr>
            <w:r>
              <w:rPr>
                <w:rFonts w:cs="Arial" w:ascii="Arial" w:hAnsi="Arial"/>
                <w:sz w:val="20"/>
              </w:rPr>
              <w:tab/>
              <w:t>289,860</w:t>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top w:val="single" w:sz="4" w:space="0" w:color="000000"/>
              <w:bottom w:val="single" w:sz="4" w:space="0" w:color="000000"/>
            </w:tcBorders>
          </w:tcPr>
          <w:p>
            <w:pPr>
              <w:pStyle w:val="Normal"/>
              <w:tabs>
                <w:tab w:val="clear" w:pos="720"/>
                <w:tab w:val="decimal" w:pos="1024" w:leader="none"/>
              </w:tabs>
              <w:rPr>
                <w:rFonts w:ascii="Arial" w:hAnsi="Arial" w:cs="Arial"/>
                <w:sz w:val="20"/>
              </w:rPr>
            </w:pPr>
            <w:r>
              <w:rPr>
                <w:rFonts w:eastAsia="Arial" w:cs="Arial" w:ascii="Arial" w:hAnsi="Arial"/>
                <w:sz w:val="20"/>
              </w:rPr>
              <w:t xml:space="preserve"> </w:t>
            </w:r>
            <w:r>
              <w:rPr>
                <w:rFonts w:cs="Arial" w:ascii="Arial" w:hAnsi="Arial"/>
                <w:sz w:val="20"/>
              </w:rPr>
              <w:t>265,947</w:t>
            </w:r>
          </w:p>
        </w:tc>
      </w:tr>
      <w:tr>
        <w:trPr/>
        <w:tc>
          <w:tcPr>
            <w:tcW w:w="6138" w:type="dxa"/>
            <w:tcBorders/>
          </w:tcPr>
          <w:p>
            <w:pPr>
              <w:pStyle w:val="Normal"/>
              <w:snapToGrid w:val="false"/>
              <w:rPr>
                <w:rFonts w:ascii="Arial" w:hAnsi="Arial" w:cs="Arial"/>
                <w:sz w:val="20"/>
              </w:rPr>
            </w:pPr>
            <w:r>
              <w:rPr>
                <w:rFonts w:cs="Arial" w:ascii="Arial" w:hAnsi="Arial"/>
                <w:sz w:val="20"/>
              </w:rPr>
            </w:r>
          </w:p>
        </w:tc>
        <w:tc>
          <w:tcPr>
            <w:tcW w:w="1800" w:type="dxa"/>
            <w:tcBorders/>
          </w:tcPr>
          <w:p>
            <w:pPr>
              <w:pStyle w:val="Normal"/>
              <w:tabs>
                <w:tab w:val="clear" w:pos="720"/>
                <w:tab w:val="right" w:pos="1062" w:leader="none"/>
                <w:tab w:val="decimal" w:pos="1422" w:leader="none"/>
              </w:tabs>
              <w:snapToGrid w:val="false"/>
              <w:rPr>
                <w:rFonts w:ascii="Arial" w:hAnsi="Arial" w:cs="Arial"/>
                <w:sz w:val="20"/>
              </w:rPr>
            </w:pPr>
            <w:r>
              <w:rPr>
                <w:rFonts w:cs="Arial" w:ascii="Arial" w:hAnsi="Arial"/>
                <w:sz w:val="20"/>
              </w:rPr>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r>
      <w:tr>
        <w:trPr/>
        <w:tc>
          <w:tcPr>
            <w:tcW w:w="6138" w:type="dxa"/>
            <w:tcBorders/>
          </w:tcPr>
          <w:p>
            <w:pPr>
              <w:pStyle w:val="Normal"/>
              <w:rPr>
                <w:rFonts w:ascii="Arial" w:hAnsi="Arial" w:cs="Arial"/>
                <w:sz w:val="20"/>
              </w:rPr>
            </w:pPr>
            <w:r>
              <w:rPr>
                <w:rFonts w:cs="Arial" w:ascii="Arial" w:hAnsi="Arial"/>
                <w:sz w:val="20"/>
              </w:rPr>
              <w:t>OTHER ASSETS, NET OF AMORTIZATION</w:t>
            </w:r>
          </w:p>
        </w:tc>
        <w:tc>
          <w:tcPr>
            <w:tcW w:w="1800" w:type="dxa"/>
            <w:tcBorders>
              <w:bottom w:val="single" w:sz="4" w:space="0" w:color="000000"/>
            </w:tcBorders>
          </w:tcPr>
          <w:p>
            <w:pPr>
              <w:pStyle w:val="Normal"/>
              <w:tabs>
                <w:tab w:val="clear" w:pos="720"/>
                <w:tab w:val="right" w:pos="1062" w:leader="none"/>
                <w:tab w:val="decimal" w:pos="1422" w:leader="none"/>
              </w:tabs>
              <w:rPr>
                <w:rFonts w:ascii="Arial" w:hAnsi="Arial" w:cs="Arial"/>
                <w:sz w:val="20"/>
              </w:rPr>
            </w:pPr>
            <w:r>
              <w:rPr>
                <w:rFonts w:cs="Arial" w:ascii="Arial" w:hAnsi="Arial"/>
                <w:sz w:val="20"/>
              </w:rPr>
              <w:tab/>
              <w:t>3,653</w:t>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bottom w:val="single" w:sz="4" w:space="0" w:color="000000"/>
            </w:tcBorders>
          </w:tcPr>
          <w:p>
            <w:pPr>
              <w:pStyle w:val="Normal"/>
              <w:tabs>
                <w:tab w:val="clear" w:pos="720"/>
                <w:tab w:val="decimal" w:pos="1024" w:leader="none"/>
              </w:tabs>
              <w:rPr>
                <w:rFonts w:ascii="Arial" w:hAnsi="Arial" w:cs="Arial"/>
                <w:sz w:val="20"/>
              </w:rPr>
            </w:pPr>
            <w:r>
              <w:rPr>
                <w:rFonts w:cs="Arial" w:ascii="Arial" w:hAnsi="Arial"/>
                <w:sz w:val="20"/>
              </w:rPr>
              <w:t>2,868</w:t>
            </w:r>
          </w:p>
        </w:tc>
      </w:tr>
      <w:tr>
        <w:trPr/>
        <w:tc>
          <w:tcPr>
            <w:tcW w:w="6138" w:type="dxa"/>
            <w:tcBorders/>
          </w:tcPr>
          <w:p>
            <w:pPr>
              <w:pStyle w:val="Normal"/>
              <w:snapToGrid w:val="false"/>
              <w:rPr>
                <w:rFonts w:ascii="Arial" w:hAnsi="Arial" w:cs="Arial"/>
                <w:sz w:val="20"/>
              </w:rPr>
            </w:pPr>
            <w:r>
              <w:rPr>
                <w:rFonts w:cs="Arial" w:ascii="Arial" w:hAnsi="Arial"/>
                <w:sz w:val="20"/>
              </w:rPr>
            </w:r>
          </w:p>
        </w:tc>
        <w:tc>
          <w:tcPr>
            <w:tcW w:w="1800" w:type="dxa"/>
            <w:tcBorders/>
          </w:tcPr>
          <w:p>
            <w:pPr>
              <w:pStyle w:val="Normal"/>
              <w:tabs>
                <w:tab w:val="clear" w:pos="720"/>
                <w:tab w:val="right" w:pos="1062" w:leader="none"/>
                <w:tab w:val="decimal" w:pos="1422" w:leader="none"/>
              </w:tabs>
              <w:snapToGrid w:val="false"/>
              <w:rPr>
                <w:rFonts w:ascii="Arial" w:hAnsi="Arial" w:cs="Arial"/>
                <w:sz w:val="20"/>
              </w:rPr>
            </w:pPr>
            <w:r>
              <w:rPr>
                <w:rFonts w:cs="Arial" w:ascii="Arial" w:hAnsi="Arial"/>
                <w:sz w:val="20"/>
              </w:rPr>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r>
      <w:tr>
        <w:trPr/>
        <w:tc>
          <w:tcPr>
            <w:tcW w:w="6138" w:type="dxa"/>
            <w:tcBorders/>
          </w:tcPr>
          <w:p>
            <w:pPr>
              <w:pStyle w:val="Normal"/>
              <w:rPr>
                <w:rFonts w:ascii="Arial" w:hAnsi="Arial" w:cs="Arial"/>
                <w:sz w:val="20"/>
              </w:rPr>
            </w:pPr>
            <w:r>
              <w:rPr>
                <w:rFonts w:cs="Arial" w:ascii="Arial" w:hAnsi="Arial"/>
                <w:sz w:val="20"/>
              </w:rPr>
              <w:t>TOTAL ASSETS</w:t>
            </w:r>
          </w:p>
        </w:tc>
        <w:tc>
          <w:tcPr>
            <w:tcW w:w="1800" w:type="dxa"/>
            <w:tcBorders>
              <w:bottom w:val="double" w:sz="4" w:space="0" w:color="000000"/>
            </w:tcBorders>
          </w:tcPr>
          <w:p>
            <w:pPr>
              <w:pStyle w:val="Normal"/>
              <w:tabs>
                <w:tab w:val="clear" w:pos="720"/>
                <w:tab w:val="right" w:pos="1062" w:leader="none"/>
                <w:tab w:val="decimal" w:pos="1422" w:leader="none"/>
              </w:tabs>
              <w:rPr>
                <w:rFonts w:ascii="Arial" w:hAnsi="Arial" w:cs="Arial"/>
                <w:sz w:val="20"/>
              </w:rPr>
            </w:pPr>
            <w:r>
              <w:rPr>
                <w:rFonts w:cs="Arial" w:ascii="Arial" w:hAnsi="Arial"/>
                <w:sz w:val="20"/>
              </w:rPr>
              <w:tab/>
              <w:t>$340,856</w:t>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bottom w:val="double" w:sz="4" w:space="0" w:color="000000"/>
            </w:tcBorders>
          </w:tcPr>
          <w:p>
            <w:pPr>
              <w:pStyle w:val="Normal"/>
              <w:tabs>
                <w:tab w:val="clear" w:pos="720"/>
                <w:tab w:val="decimal" w:pos="1024" w:leader="none"/>
              </w:tabs>
              <w:rPr>
                <w:rFonts w:ascii="Arial" w:hAnsi="Arial" w:cs="Arial"/>
                <w:sz w:val="20"/>
              </w:rPr>
            </w:pPr>
            <w:r>
              <w:rPr>
                <w:rFonts w:cs="Arial" w:ascii="Arial" w:hAnsi="Arial"/>
                <w:sz w:val="20"/>
              </w:rPr>
              <w:t>$297,512</w:t>
            </w:r>
          </w:p>
        </w:tc>
      </w:tr>
      <w:tr>
        <w:trPr/>
        <w:tc>
          <w:tcPr>
            <w:tcW w:w="6138" w:type="dxa"/>
            <w:tcBorders/>
          </w:tcPr>
          <w:p>
            <w:pPr>
              <w:pStyle w:val="Normal"/>
              <w:snapToGrid w:val="false"/>
              <w:rPr>
                <w:rFonts w:ascii="Arial" w:hAnsi="Arial" w:cs="Arial"/>
                <w:b/>
                <w:sz w:val="20"/>
                <w:u w:val="single"/>
              </w:rPr>
            </w:pPr>
            <w:r>
              <w:rPr>
                <w:rFonts w:cs="Arial" w:ascii="Arial" w:hAnsi="Arial"/>
                <w:b/>
                <w:sz w:val="20"/>
                <w:u w:val="single"/>
              </w:rPr>
            </w:r>
          </w:p>
        </w:tc>
        <w:tc>
          <w:tcPr>
            <w:tcW w:w="1800" w:type="dxa"/>
            <w:tcBorders/>
          </w:tcPr>
          <w:p>
            <w:pPr>
              <w:pStyle w:val="Normal"/>
              <w:tabs>
                <w:tab w:val="clear" w:pos="720"/>
                <w:tab w:val="decimal" w:pos="998" w:leader="none"/>
                <w:tab w:val="right" w:pos="1152" w:leader="none"/>
                <w:tab w:val="decimal" w:pos="1358" w:leader="none"/>
                <w:tab w:val="decimal" w:pos="1422" w:leader="none"/>
              </w:tabs>
              <w:snapToGrid w:val="false"/>
              <w:rPr>
                <w:rFonts w:ascii="Arial" w:hAnsi="Arial" w:cs="Arial"/>
                <w:b/>
                <w:sz w:val="20"/>
                <w:u w:val="single"/>
              </w:rPr>
            </w:pPr>
            <w:r>
              <w:rPr>
                <w:rFonts w:cs="Arial" w:ascii="Arial" w:hAnsi="Arial"/>
                <w:b/>
                <w:sz w:val="20"/>
                <w:u w:val="single"/>
              </w:rPr>
            </w:r>
          </w:p>
        </w:tc>
        <w:tc>
          <w:tcPr>
            <w:tcW w:w="360" w:type="dxa"/>
            <w:tcBorders/>
          </w:tcPr>
          <w:p>
            <w:pPr>
              <w:pStyle w:val="Normal"/>
              <w:tabs>
                <w:tab w:val="clear" w:pos="720"/>
                <w:tab w:val="decimal" w:pos="1024" w:leader="none"/>
              </w:tabs>
              <w:snapToGrid w:val="false"/>
              <w:rPr>
                <w:rFonts w:ascii="Arial" w:hAnsi="Arial" w:cs="Arial"/>
                <w:b/>
                <w:sz w:val="20"/>
              </w:rPr>
            </w:pPr>
            <w:r>
              <w:rPr>
                <w:rFonts w:cs="Arial" w:ascii="Arial" w:hAnsi="Arial"/>
                <w:b/>
                <w:sz w:val="20"/>
              </w:rPr>
            </w:r>
          </w:p>
        </w:tc>
        <w:tc>
          <w:tcPr>
            <w:tcW w:w="1620" w:type="dxa"/>
            <w:tcBorders/>
          </w:tcPr>
          <w:p>
            <w:pPr>
              <w:pStyle w:val="Normal"/>
              <w:tabs>
                <w:tab w:val="clear" w:pos="720"/>
                <w:tab w:val="decimal" w:pos="1024" w:leader="none"/>
              </w:tabs>
              <w:snapToGrid w:val="false"/>
              <w:rPr>
                <w:rFonts w:ascii="Arial" w:hAnsi="Arial" w:cs="Arial"/>
                <w:b/>
                <w:sz w:val="20"/>
              </w:rPr>
            </w:pPr>
            <w:r>
              <w:rPr>
                <w:rFonts w:cs="Arial" w:ascii="Arial" w:hAnsi="Arial"/>
                <w:b/>
                <w:sz w:val="20"/>
              </w:rPr>
            </w:r>
          </w:p>
        </w:tc>
      </w:tr>
      <w:tr>
        <w:trPr/>
        <w:tc>
          <w:tcPr>
            <w:tcW w:w="6138" w:type="dxa"/>
            <w:tcBorders/>
          </w:tcPr>
          <w:p>
            <w:pPr>
              <w:pStyle w:val="Heading1"/>
              <w:ind w:hanging="0" w:start="0"/>
              <w:rPr>
                <w:rFonts w:ascii="Arial" w:hAnsi="Arial" w:cs="Arial"/>
                <w:sz w:val="20"/>
                <w:u w:val="single"/>
              </w:rPr>
            </w:pPr>
            <w:r>
              <w:rPr>
                <w:rFonts w:cs="Arial" w:ascii="Arial" w:hAnsi="Arial"/>
                <w:sz w:val="20"/>
                <w:u w:val="single"/>
              </w:rPr>
              <w:t>LIABILITIES AND STOCKHOLDER'S EQUITY</w:t>
            </w:r>
          </w:p>
        </w:tc>
        <w:tc>
          <w:tcPr>
            <w:tcW w:w="1800" w:type="dxa"/>
            <w:tcBorders/>
          </w:tcPr>
          <w:p>
            <w:pPr>
              <w:pStyle w:val="Normal"/>
              <w:tabs>
                <w:tab w:val="clear" w:pos="720"/>
                <w:tab w:val="decimal" w:pos="998" w:leader="none"/>
                <w:tab w:val="right" w:pos="1152" w:leader="none"/>
                <w:tab w:val="decimal" w:pos="1358" w:leader="none"/>
                <w:tab w:val="decimal" w:pos="1422" w:leader="none"/>
              </w:tabs>
              <w:snapToGrid w:val="false"/>
              <w:rPr>
                <w:rFonts w:ascii="Arial" w:hAnsi="Arial" w:cs="Arial"/>
                <w:sz w:val="20"/>
                <w:u w:val="single"/>
              </w:rPr>
            </w:pPr>
            <w:r>
              <w:rPr>
                <w:rFonts w:cs="Arial" w:ascii="Arial" w:hAnsi="Arial"/>
                <w:sz w:val="20"/>
                <w:u w:val="single"/>
              </w:rPr>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r>
      <w:tr>
        <w:trPr/>
        <w:tc>
          <w:tcPr>
            <w:tcW w:w="6138" w:type="dxa"/>
            <w:tcBorders/>
            <w:vAlign w:val="bottom"/>
          </w:tcPr>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s>
              <w:rPr>
                <w:rFonts w:ascii="Arial" w:hAnsi="Arial" w:cs="Arial"/>
                <w:sz w:val="20"/>
              </w:rPr>
            </w:pPr>
            <w:r>
              <w:rPr>
                <w:rFonts w:cs="Arial" w:ascii="Arial" w:hAnsi="Arial"/>
                <w:sz w:val="20"/>
              </w:rPr>
              <w:t>CURRENT LIABILITIES:</w:t>
            </w:r>
          </w:p>
        </w:tc>
        <w:tc>
          <w:tcPr>
            <w:tcW w:w="1800" w:type="dxa"/>
            <w:tcBorders/>
          </w:tcPr>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 w:val="decimal" w:pos="998" w:leader="none"/>
                <w:tab w:val="right" w:pos="1152" w:leader="none"/>
                <w:tab w:val="decimal" w:pos="1358" w:leader="none"/>
                <w:tab w:val="decimal" w:pos="1422" w:leader="none"/>
              </w:tabs>
              <w:snapToGrid w:val="false"/>
              <w:ind w:start="8" w:end="0"/>
              <w:rPr>
                <w:rFonts w:ascii="Arial" w:hAnsi="Arial" w:cs="Arial"/>
                <w:sz w:val="20"/>
              </w:rPr>
            </w:pPr>
            <w:r>
              <w:rPr>
                <w:rFonts w:cs="Arial" w:ascii="Arial" w:hAnsi="Arial"/>
                <w:sz w:val="20"/>
              </w:rPr>
            </w:r>
          </w:p>
        </w:tc>
        <w:tc>
          <w:tcPr>
            <w:tcW w:w="360" w:type="dxa"/>
            <w:tcBorders/>
          </w:tcPr>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 w:val="decimal" w:pos="1024" w:leader="none"/>
              </w:tabs>
              <w:snapToGrid w:val="false"/>
              <w:rPr>
                <w:rFonts w:ascii="Arial" w:hAnsi="Arial" w:cs="Arial"/>
                <w:sz w:val="20"/>
              </w:rPr>
            </w:pPr>
            <w:r>
              <w:rPr>
                <w:rFonts w:cs="Arial" w:ascii="Arial" w:hAnsi="Arial"/>
                <w:sz w:val="20"/>
              </w:rPr>
            </w:r>
          </w:p>
        </w:tc>
        <w:tc>
          <w:tcPr>
            <w:tcW w:w="1620" w:type="dxa"/>
            <w:tcBorders/>
          </w:tcPr>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 w:val="decimal" w:pos="1024" w:leader="none"/>
              </w:tabs>
              <w:snapToGrid w:val="false"/>
              <w:rPr>
                <w:rFonts w:ascii="Arial" w:hAnsi="Arial" w:cs="Arial"/>
                <w:sz w:val="20"/>
              </w:rPr>
            </w:pPr>
            <w:r>
              <w:rPr>
                <w:rFonts w:cs="Arial" w:ascii="Arial" w:hAnsi="Arial"/>
                <w:sz w:val="20"/>
              </w:rPr>
            </w:r>
          </w:p>
        </w:tc>
      </w:tr>
      <w:tr>
        <w:trPr/>
        <w:tc>
          <w:tcPr>
            <w:tcW w:w="6138" w:type="dxa"/>
            <w:tcBorders/>
          </w:tcPr>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s>
              <w:ind w:start="360" w:end="0"/>
              <w:rPr>
                <w:rFonts w:ascii="Arial" w:hAnsi="Arial" w:cs="Arial"/>
                <w:sz w:val="20"/>
              </w:rPr>
            </w:pPr>
            <w:r>
              <w:rPr>
                <w:rFonts w:cs="Arial" w:ascii="Arial" w:hAnsi="Arial"/>
                <w:sz w:val="20"/>
              </w:rPr>
              <w:t>Accounts payable</w:t>
            </w:r>
          </w:p>
        </w:tc>
        <w:tc>
          <w:tcPr>
            <w:tcW w:w="1800" w:type="dxa"/>
            <w:tcBorders/>
          </w:tcPr>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 w:val="right" w:pos="1062" w:leader="none"/>
                <w:tab w:val="decimal" w:pos="1422" w:leader="none"/>
              </w:tabs>
              <w:rPr>
                <w:rFonts w:ascii="Arial" w:hAnsi="Arial" w:cs="Arial"/>
                <w:sz w:val="20"/>
              </w:rPr>
            </w:pPr>
            <w:r>
              <w:rPr>
                <w:rFonts w:cs="Arial" w:ascii="Arial" w:hAnsi="Arial"/>
                <w:sz w:val="20"/>
              </w:rPr>
              <w:tab/>
              <w:t>$15,605</w:t>
            </w:r>
          </w:p>
        </w:tc>
        <w:tc>
          <w:tcPr>
            <w:tcW w:w="360" w:type="dxa"/>
            <w:tcBorders/>
          </w:tcPr>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 w:val="decimal" w:pos="1024" w:leader="none"/>
              </w:tabs>
              <w:snapToGrid w:val="false"/>
              <w:rPr>
                <w:rFonts w:ascii="Arial" w:hAnsi="Arial" w:cs="Arial"/>
                <w:sz w:val="20"/>
              </w:rPr>
            </w:pPr>
            <w:r>
              <w:rPr>
                <w:rFonts w:cs="Arial" w:ascii="Arial" w:hAnsi="Arial"/>
                <w:sz w:val="20"/>
              </w:rPr>
            </w:r>
          </w:p>
        </w:tc>
        <w:tc>
          <w:tcPr>
            <w:tcW w:w="1620" w:type="dxa"/>
            <w:tcBorders/>
          </w:tcPr>
          <w:p>
            <w:pPr>
              <w:pStyle w:val="BodyText"/>
              <w:tabs>
                <w:tab w:val="clear" w:pos="326"/>
                <w:tab w:val="clear" w:pos="1096"/>
                <w:tab w:val="clear" w:pos="1586"/>
                <w:tab w:val="clear" w:pos="2306"/>
                <w:tab w:val="clear" w:pos="5040"/>
                <w:tab w:val="clear" w:pos="6250"/>
                <w:tab w:val="clear" w:pos="7240"/>
                <w:tab w:val="clear" w:pos="7776"/>
                <w:tab w:val="clear" w:pos="9101"/>
                <w:tab w:val="clear" w:pos="9360"/>
                <w:tab w:val="left" w:pos="-900" w:leader="none"/>
                <w:tab w:val="left" w:pos="-344" w:leader="none"/>
                <w:tab w:val="decimal" w:pos="1024" w:leader="none"/>
              </w:tabs>
              <w:rPr>
                <w:rFonts w:ascii="Arial" w:hAnsi="Arial" w:cs="Arial"/>
                <w:sz w:val="20"/>
              </w:rPr>
            </w:pPr>
            <w:r>
              <w:rPr>
                <w:rFonts w:cs="Arial" w:ascii="Arial" w:hAnsi="Arial"/>
                <w:sz w:val="20"/>
              </w:rPr>
              <w:t>$30,269</w:t>
            </w:r>
          </w:p>
        </w:tc>
      </w:tr>
      <w:tr>
        <w:trPr/>
        <w:tc>
          <w:tcPr>
            <w:tcW w:w="6138" w:type="dxa"/>
            <w:tcBorders/>
          </w:tcPr>
          <w:p>
            <w:pPr>
              <w:pStyle w:val="Normal"/>
              <w:ind w:start="360" w:end="0"/>
              <w:rPr>
                <w:rFonts w:ascii="Arial" w:hAnsi="Arial" w:cs="Arial"/>
                <w:sz w:val="20"/>
              </w:rPr>
            </w:pPr>
            <w:r>
              <w:rPr>
                <w:rFonts w:cs="Arial" w:ascii="Arial" w:hAnsi="Arial"/>
                <w:sz w:val="20"/>
              </w:rPr>
              <w:t>Accrued liabilities</w:t>
            </w:r>
          </w:p>
        </w:tc>
        <w:tc>
          <w:tcPr>
            <w:tcW w:w="1800" w:type="dxa"/>
            <w:tcBorders/>
          </w:tcPr>
          <w:p>
            <w:pPr>
              <w:pStyle w:val="Normal"/>
              <w:tabs>
                <w:tab w:val="clear" w:pos="720"/>
                <w:tab w:val="right" w:pos="1062" w:leader="none"/>
                <w:tab w:val="decimal" w:pos="1422" w:leader="none"/>
              </w:tabs>
              <w:rPr>
                <w:rFonts w:ascii="Arial" w:hAnsi="Arial" w:cs="Arial"/>
                <w:sz w:val="20"/>
              </w:rPr>
            </w:pPr>
            <w:r>
              <w:rPr>
                <w:rFonts w:cs="Arial" w:ascii="Arial" w:hAnsi="Arial"/>
                <w:sz w:val="20"/>
              </w:rPr>
              <w:tab/>
              <w:t>42,568</w:t>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tcPr>
          <w:p>
            <w:pPr>
              <w:pStyle w:val="Normal"/>
              <w:tabs>
                <w:tab w:val="clear" w:pos="720"/>
                <w:tab w:val="decimal" w:pos="1024" w:leader="none"/>
              </w:tabs>
              <w:rPr>
                <w:rFonts w:ascii="Arial" w:hAnsi="Arial" w:cs="Arial"/>
                <w:sz w:val="20"/>
              </w:rPr>
            </w:pPr>
            <w:r>
              <w:rPr>
                <w:rFonts w:cs="Arial" w:ascii="Arial" w:hAnsi="Arial"/>
                <w:sz w:val="20"/>
              </w:rPr>
              <w:t>25,389</w:t>
            </w:r>
          </w:p>
        </w:tc>
      </w:tr>
      <w:tr>
        <w:trPr/>
        <w:tc>
          <w:tcPr>
            <w:tcW w:w="6138" w:type="dxa"/>
            <w:tcBorders/>
          </w:tcPr>
          <w:p>
            <w:pPr>
              <w:pStyle w:val="Normal"/>
              <w:ind w:start="360" w:end="0"/>
              <w:rPr>
                <w:rFonts w:ascii="Arial" w:hAnsi="Arial" w:cs="Arial"/>
                <w:sz w:val="20"/>
              </w:rPr>
            </w:pPr>
            <w:r>
              <w:rPr>
                <w:rFonts w:cs="Arial" w:ascii="Arial" w:hAnsi="Arial"/>
                <w:sz w:val="20"/>
              </w:rPr>
              <w:t>Accrued interest</w:t>
            </w:r>
          </w:p>
        </w:tc>
        <w:tc>
          <w:tcPr>
            <w:tcW w:w="1800" w:type="dxa"/>
            <w:tcBorders/>
          </w:tcPr>
          <w:p>
            <w:pPr>
              <w:pStyle w:val="Normal"/>
              <w:tabs>
                <w:tab w:val="clear" w:pos="720"/>
                <w:tab w:val="right" w:pos="1062" w:leader="none"/>
                <w:tab w:val="decimal" w:pos="1422" w:leader="none"/>
              </w:tabs>
              <w:rPr>
                <w:rFonts w:ascii="Arial" w:hAnsi="Arial" w:cs="Arial"/>
                <w:sz w:val="20"/>
              </w:rPr>
            </w:pPr>
            <w:r>
              <w:rPr>
                <w:rFonts w:cs="Arial" w:ascii="Arial" w:hAnsi="Arial"/>
                <w:sz w:val="20"/>
              </w:rPr>
              <w:tab/>
              <w:t>4,522</w:t>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tcPr>
          <w:p>
            <w:pPr>
              <w:pStyle w:val="Normal"/>
              <w:tabs>
                <w:tab w:val="clear" w:pos="720"/>
                <w:tab w:val="decimal" w:pos="1024" w:leader="none"/>
              </w:tabs>
              <w:rPr>
                <w:rFonts w:ascii="Arial" w:hAnsi="Arial" w:cs="Arial"/>
                <w:sz w:val="20"/>
              </w:rPr>
            </w:pPr>
            <w:r>
              <w:rPr>
                <w:rFonts w:cs="Arial" w:ascii="Arial" w:hAnsi="Arial"/>
                <w:sz w:val="20"/>
              </w:rPr>
              <w:t>5,329</w:t>
            </w:r>
          </w:p>
        </w:tc>
      </w:tr>
      <w:tr>
        <w:trPr/>
        <w:tc>
          <w:tcPr>
            <w:tcW w:w="6138" w:type="dxa"/>
            <w:tcBorders/>
          </w:tcPr>
          <w:p>
            <w:pPr>
              <w:pStyle w:val="Normal"/>
              <w:ind w:start="360" w:end="0"/>
              <w:rPr>
                <w:rFonts w:ascii="Arial" w:hAnsi="Arial" w:cs="Arial"/>
                <w:sz w:val="20"/>
              </w:rPr>
            </w:pPr>
            <w:r>
              <w:rPr>
                <w:rFonts w:cs="Arial" w:ascii="Arial" w:hAnsi="Arial"/>
                <w:sz w:val="20"/>
              </w:rPr>
              <w:t>Affiliate Credit Facility</w:t>
            </w:r>
          </w:p>
        </w:tc>
        <w:tc>
          <w:tcPr>
            <w:tcW w:w="1800" w:type="dxa"/>
            <w:tcBorders/>
          </w:tcPr>
          <w:p>
            <w:pPr>
              <w:pStyle w:val="Normal"/>
              <w:tabs>
                <w:tab w:val="clear" w:pos="720"/>
                <w:tab w:val="right" w:pos="1062" w:leader="none"/>
                <w:tab w:val="decimal" w:pos="1422" w:leader="none"/>
              </w:tabs>
              <w:rPr>
                <w:rFonts w:ascii="Arial" w:hAnsi="Arial" w:cs="Arial"/>
                <w:sz w:val="20"/>
              </w:rPr>
            </w:pPr>
            <w:r>
              <w:rPr>
                <w:rFonts w:cs="Arial" w:ascii="Arial" w:hAnsi="Arial"/>
                <w:sz w:val="20"/>
              </w:rPr>
              <w:tab/>
              <w:t xml:space="preserve">          -</w:t>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bottom w:val="single" w:sz="4" w:space="0" w:color="000000"/>
            </w:tcBorders>
          </w:tcPr>
          <w:p>
            <w:pPr>
              <w:pStyle w:val="Normal"/>
              <w:tabs>
                <w:tab w:val="clear" w:pos="720"/>
                <w:tab w:val="decimal" w:pos="1024" w:leader="none"/>
              </w:tabs>
              <w:rPr>
                <w:rFonts w:ascii="Arial" w:hAnsi="Arial" w:cs="Arial"/>
                <w:sz w:val="20"/>
              </w:rPr>
            </w:pPr>
            <w:r>
              <w:rPr>
                <w:rFonts w:cs="Arial" w:ascii="Arial" w:hAnsi="Arial"/>
                <w:sz w:val="20"/>
              </w:rPr>
              <w:t>25,000</w:t>
            </w:r>
          </w:p>
        </w:tc>
      </w:tr>
      <w:tr>
        <w:trPr/>
        <w:tc>
          <w:tcPr>
            <w:tcW w:w="6138" w:type="dxa"/>
            <w:tcBorders/>
          </w:tcPr>
          <w:p>
            <w:pPr>
              <w:pStyle w:val="Normal"/>
              <w:ind w:start="900" w:end="0"/>
              <w:rPr>
                <w:rFonts w:ascii="Arial" w:hAnsi="Arial" w:cs="Arial"/>
                <w:sz w:val="20"/>
              </w:rPr>
            </w:pPr>
            <w:r>
              <w:rPr>
                <w:rFonts w:cs="Arial" w:ascii="Arial" w:hAnsi="Arial"/>
                <w:sz w:val="20"/>
              </w:rPr>
              <w:t>Total current liabilities</w:t>
            </w:r>
          </w:p>
        </w:tc>
        <w:tc>
          <w:tcPr>
            <w:tcW w:w="1800" w:type="dxa"/>
            <w:tcBorders>
              <w:top w:val="single" w:sz="4" w:space="0" w:color="000000"/>
              <w:bottom w:val="single" w:sz="4" w:space="0" w:color="000000"/>
            </w:tcBorders>
          </w:tcPr>
          <w:p>
            <w:pPr>
              <w:pStyle w:val="Normal"/>
              <w:tabs>
                <w:tab w:val="clear" w:pos="720"/>
                <w:tab w:val="right" w:pos="1062" w:leader="none"/>
                <w:tab w:val="decimal" w:pos="1422" w:leader="none"/>
              </w:tabs>
              <w:rPr>
                <w:rFonts w:ascii="Arial" w:hAnsi="Arial" w:cs="Arial"/>
                <w:sz w:val="20"/>
              </w:rPr>
            </w:pPr>
            <w:r>
              <w:rPr>
                <w:rFonts w:cs="Arial" w:ascii="Arial" w:hAnsi="Arial"/>
                <w:sz w:val="20"/>
              </w:rPr>
              <w:tab/>
              <w:t>62,695</w:t>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bottom w:val="single" w:sz="4" w:space="0" w:color="000000"/>
            </w:tcBorders>
          </w:tcPr>
          <w:p>
            <w:pPr>
              <w:pStyle w:val="Normal"/>
              <w:tabs>
                <w:tab w:val="clear" w:pos="720"/>
                <w:tab w:val="decimal" w:pos="1024" w:leader="none"/>
              </w:tabs>
              <w:rPr>
                <w:rFonts w:ascii="Arial" w:hAnsi="Arial" w:cs="Arial"/>
                <w:sz w:val="20"/>
              </w:rPr>
            </w:pPr>
            <w:r>
              <w:rPr>
                <w:rFonts w:cs="Arial" w:ascii="Arial" w:hAnsi="Arial"/>
                <w:sz w:val="20"/>
              </w:rPr>
              <w:t>85,987</w:t>
            </w:r>
          </w:p>
        </w:tc>
      </w:tr>
      <w:tr>
        <w:trPr/>
        <w:tc>
          <w:tcPr>
            <w:tcW w:w="6138" w:type="dxa"/>
            <w:tcBorders/>
          </w:tcPr>
          <w:p>
            <w:pPr>
              <w:pStyle w:val="Normal"/>
              <w:snapToGrid w:val="false"/>
              <w:rPr>
                <w:rFonts w:ascii="Arial" w:hAnsi="Arial" w:cs="Arial"/>
                <w:sz w:val="20"/>
              </w:rPr>
            </w:pPr>
            <w:r>
              <w:rPr>
                <w:rFonts w:cs="Arial" w:ascii="Arial" w:hAnsi="Arial"/>
                <w:sz w:val="20"/>
              </w:rPr>
            </w:r>
          </w:p>
        </w:tc>
        <w:tc>
          <w:tcPr>
            <w:tcW w:w="1800" w:type="dxa"/>
            <w:tcBorders/>
          </w:tcPr>
          <w:p>
            <w:pPr>
              <w:pStyle w:val="Normal"/>
              <w:tabs>
                <w:tab w:val="clear" w:pos="720"/>
                <w:tab w:val="right" w:pos="1062" w:leader="none"/>
                <w:tab w:val="decimal" w:pos="1422" w:leader="none"/>
              </w:tabs>
              <w:snapToGrid w:val="false"/>
              <w:rPr>
                <w:rFonts w:ascii="Arial" w:hAnsi="Arial" w:cs="Arial"/>
                <w:sz w:val="20"/>
              </w:rPr>
            </w:pPr>
            <w:r>
              <w:rPr>
                <w:rFonts w:cs="Arial" w:ascii="Arial" w:hAnsi="Arial"/>
                <w:sz w:val="20"/>
              </w:rPr>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r>
      <w:tr>
        <w:trPr/>
        <w:tc>
          <w:tcPr>
            <w:tcW w:w="6138" w:type="dxa"/>
            <w:tcBorders/>
          </w:tcPr>
          <w:p>
            <w:pPr>
              <w:pStyle w:val="Normal"/>
              <w:rPr>
                <w:rFonts w:ascii="Arial" w:hAnsi="Arial" w:cs="Arial"/>
                <w:sz w:val="20"/>
              </w:rPr>
            </w:pPr>
            <w:r>
              <w:rPr>
                <w:rFonts w:cs="Arial" w:ascii="Arial" w:hAnsi="Arial"/>
                <w:sz w:val="20"/>
              </w:rPr>
              <w:t>OTHER LIABILITIES</w:t>
            </w:r>
          </w:p>
        </w:tc>
        <w:tc>
          <w:tcPr>
            <w:tcW w:w="1800" w:type="dxa"/>
            <w:tcBorders/>
          </w:tcPr>
          <w:p>
            <w:pPr>
              <w:pStyle w:val="Normal"/>
              <w:tabs>
                <w:tab w:val="clear" w:pos="720"/>
                <w:tab w:val="right" w:pos="1062" w:leader="none"/>
                <w:tab w:val="decimal" w:pos="1422" w:leader="none"/>
              </w:tabs>
              <w:rPr>
                <w:rFonts w:ascii="Arial" w:hAnsi="Arial" w:cs="Arial"/>
                <w:sz w:val="20"/>
              </w:rPr>
            </w:pPr>
            <w:r>
              <w:rPr>
                <w:rFonts w:cs="Arial" w:ascii="Arial" w:hAnsi="Arial"/>
                <w:sz w:val="20"/>
              </w:rPr>
              <w:tab/>
              <w:t>6,552</w:t>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tcPr>
          <w:p>
            <w:pPr>
              <w:pStyle w:val="Normal"/>
              <w:tabs>
                <w:tab w:val="clear" w:pos="720"/>
                <w:tab w:val="decimal" w:pos="1024" w:leader="none"/>
              </w:tabs>
              <w:rPr>
                <w:rFonts w:ascii="Arial" w:hAnsi="Arial" w:cs="Arial"/>
                <w:sz w:val="20"/>
              </w:rPr>
            </w:pPr>
            <w:r>
              <w:rPr>
                <w:rFonts w:cs="Arial" w:ascii="Arial" w:hAnsi="Arial"/>
                <w:sz w:val="20"/>
              </w:rPr>
              <w:t>4,226</w:t>
            </w:r>
          </w:p>
        </w:tc>
      </w:tr>
      <w:tr>
        <w:trPr/>
        <w:tc>
          <w:tcPr>
            <w:tcW w:w="6138" w:type="dxa"/>
            <w:tcBorders/>
          </w:tcPr>
          <w:p>
            <w:pPr>
              <w:pStyle w:val="Normal"/>
              <w:snapToGrid w:val="false"/>
              <w:rPr>
                <w:rFonts w:ascii="Arial" w:hAnsi="Arial" w:cs="Arial"/>
                <w:sz w:val="20"/>
              </w:rPr>
            </w:pPr>
            <w:r>
              <w:rPr>
                <w:rFonts w:cs="Arial" w:ascii="Arial" w:hAnsi="Arial"/>
                <w:sz w:val="20"/>
              </w:rPr>
            </w:r>
          </w:p>
        </w:tc>
        <w:tc>
          <w:tcPr>
            <w:tcW w:w="1800" w:type="dxa"/>
            <w:tcBorders/>
          </w:tcPr>
          <w:p>
            <w:pPr>
              <w:pStyle w:val="Normal"/>
              <w:tabs>
                <w:tab w:val="clear" w:pos="720"/>
                <w:tab w:val="right" w:pos="1062" w:leader="none"/>
                <w:tab w:val="decimal" w:pos="1422" w:leader="none"/>
              </w:tabs>
              <w:snapToGrid w:val="false"/>
              <w:rPr>
                <w:rFonts w:ascii="Arial" w:hAnsi="Arial" w:cs="Arial"/>
                <w:sz w:val="20"/>
              </w:rPr>
            </w:pPr>
            <w:r>
              <w:rPr>
                <w:rFonts w:cs="Arial" w:ascii="Arial" w:hAnsi="Arial"/>
                <w:sz w:val="20"/>
              </w:rPr>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r>
      <w:tr>
        <w:trPr/>
        <w:tc>
          <w:tcPr>
            <w:tcW w:w="6138" w:type="dxa"/>
            <w:tcBorders/>
          </w:tcPr>
          <w:p>
            <w:pPr>
              <w:pStyle w:val="Normal"/>
              <w:rPr>
                <w:rFonts w:ascii="Arial" w:hAnsi="Arial" w:cs="Arial"/>
                <w:sz w:val="20"/>
              </w:rPr>
            </w:pPr>
            <w:r>
              <w:rPr>
                <w:rFonts w:cs="Arial" w:ascii="Arial" w:hAnsi="Arial"/>
                <w:sz w:val="20"/>
              </w:rPr>
              <w:t>LONG-TERM DEBT:</w:t>
            </w:r>
          </w:p>
        </w:tc>
        <w:tc>
          <w:tcPr>
            <w:tcW w:w="1800" w:type="dxa"/>
            <w:tcBorders/>
          </w:tcPr>
          <w:p>
            <w:pPr>
              <w:pStyle w:val="Normal"/>
              <w:tabs>
                <w:tab w:val="clear" w:pos="720"/>
                <w:tab w:val="right" w:pos="1062" w:leader="none"/>
                <w:tab w:val="decimal" w:pos="1422" w:leader="none"/>
              </w:tabs>
              <w:snapToGrid w:val="false"/>
              <w:rPr>
                <w:rFonts w:ascii="Arial" w:hAnsi="Arial" w:cs="Arial"/>
                <w:sz w:val="20"/>
              </w:rPr>
            </w:pPr>
            <w:r>
              <w:rPr>
                <w:rFonts w:cs="Arial" w:ascii="Arial" w:hAnsi="Arial"/>
                <w:sz w:val="20"/>
              </w:rPr>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r>
      <w:tr>
        <w:trPr/>
        <w:tc>
          <w:tcPr>
            <w:tcW w:w="6138" w:type="dxa"/>
            <w:tcBorders/>
          </w:tcPr>
          <w:p>
            <w:pPr>
              <w:pStyle w:val="Normal"/>
              <w:ind w:start="360" w:end="0"/>
              <w:rPr>
                <w:rFonts w:ascii="Arial" w:hAnsi="Arial" w:cs="Arial"/>
                <w:sz w:val="20"/>
              </w:rPr>
            </w:pPr>
            <w:r>
              <w:rPr>
                <w:rFonts w:cs="Arial" w:ascii="Arial" w:hAnsi="Arial"/>
                <w:sz w:val="20"/>
              </w:rPr>
              <w:t>Senior Subordinated notes</w:t>
            </w:r>
          </w:p>
        </w:tc>
        <w:tc>
          <w:tcPr>
            <w:tcW w:w="1800" w:type="dxa"/>
            <w:tcBorders/>
          </w:tcPr>
          <w:p>
            <w:pPr>
              <w:pStyle w:val="Normal"/>
              <w:tabs>
                <w:tab w:val="clear" w:pos="720"/>
                <w:tab w:val="right" w:pos="1062" w:leader="none"/>
                <w:tab w:val="decimal" w:pos="1422" w:leader="none"/>
              </w:tabs>
              <w:rPr>
                <w:rFonts w:ascii="Arial" w:hAnsi="Arial" w:cs="Arial"/>
                <w:sz w:val="20"/>
              </w:rPr>
            </w:pPr>
            <w:r>
              <w:rPr>
                <w:rFonts w:cs="Arial" w:ascii="Arial" w:hAnsi="Arial"/>
                <w:sz w:val="20"/>
              </w:rPr>
              <w:tab/>
              <w:t>99,722</w:t>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tcPr>
          <w:p>
            <w:pPr>
              <w:pStyle w:val="Normal"/>
              <w:tabs>
                <w:tab w:val="clear" w:pos="720"/>
                <w:tab w:val="decimal" w:pos="1024" w:leader="none"/>
              </w:tabs>
              <w:rPr>
                <w:rFonts w:ascii="Arial" w:hAnsi="Arial" w:cs="Arial"/>
                <w:sz w:val="20"/>
              </w:rPr>
            </w:pPr>
            <w:r>
              <w:rPr>
                <w:rFonts w:cs="Arial" w:ascii="Arial" w:hAnsi="Arial"/>
                <w:sz w:val="20"/>
              </w:rPr>
              <w:t>99,673</w:t>
            </w:r>
          </w:p>
        </w:tc>
      </w:tr>
      <w:tr>
        <w:trPr/>
        <w:tc>
          <w:tcPr>
            <w:tcW w:w="6138" w:type="dxa"/>
            <w:tcBorders/>
          </w:tcPr>
          <w:p>
            <w:pPr>
              <w:pStyle w:val="Normal"/>
              <w:ind w:start="360" w:end="0"/>
              <w:rPr>
                <w:rFonts w:ascii="Arial" w:hAnsi="Arial" w:cs="Arial"/>
                <w:sz w:val="20"/>
              </w:rPr>
            </w:pPr>
            <w:r>
              <w:rPr>
                <w:rFonts w:cs="Arial" w:ascii="Arial" w:hAnsi="Arial"/>
                <w:sz w:val="20"/>
              </w:rPr>
              <w:t>Revolving Credit Facility</w:t>
            </w:r>
          </w:p>
        </w:tc>
        <w:tc>
          <w:tcPr>
            <w:tcW w:w="1800" w:type="dxa"/>
            <w:tcBorders/>
          </w:tcPr>
          <w:p>
            <w:pPr>
              <w:pStyle w:val="Normal"/>
              <w:tabs>
                <w:tab w:val="clear" w:pos="720"/>
                <w:tab w:val="right" w:pos="1062" w:leader="none"/>
                <w:tab w:val="decimal" w:pos="1422" w:leader="none"/>
              </w:tabs>
              <w:rPr>
                <w:rFonts w:ascii="Arial" w:hAnsi="Arial" w:cs="Arial"/>
                <w:sz w:val="20"/>
              </w:rPr>
            </w:pPr>
            <w:r>
              <w:rPr>
                <w:rFonts w:cs="Arial" w:ascii="Arial" w:hAnsi="Arial"/>
                <w:sz w:val="20"/>
              </w:rPr>
              <w:tab/>
              <w:t>30,000</w:t>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bottom w:val="single" w:sz="4" w:space="0" w:color="000000"/>
            </w:tcBorders>
          </w:tcPr>
          <w:p>
            <w:pPr>
              <w:pStyle w:val="Normal"/>
              <w:tabs>
                <w:tab w:val="clear" w:pos="720"/>
                <w:tab w:val="decimal" w:pos="1024" w:leader="none"/>
              </w:tabs>
              <w:rPr>
                <w:rFonts w:ascii="Arial" w:hAnsi="Arial" w:cs="Arial"/>
                <w:sz w:val="20"/>
              </w:rPr>
            </w:pPr>
            <w:r>
              <w:rPr>
                <w:rFonts w:cs="Arial" w:ascii="Arial" w:hAnsi="Arial"/>
                <w:sz w:val="20"/>
              </w:rPr>
              <w:t>42,600</w:t>
            </w:r>
          </w:p>
        </w:tc>
      </w:tr>
      <w:tr>
        <w:trPr/>
        <w:tc>
          <w:tcPr>
            <w:tcW w:w="6138" w:type="dxa"/>
            <w:tcBorders/>
          </w:tcPr>
          <w:p>
            <w:pPr>
              <w:pStyle w:val="Normal"/>
              <w:ind w:start="900" w:end="0"/>
              <w:rPr>
                <w:rFonts w:ascii="Arial" w:hAnsi="Arial" w:cs="Arial"/>
                <w:sz w:val="20"/>
              </w:rPr>
            </w:pPr>
            <w:r>
              <w:rPr>
                <w:rFonts w:cs="Arial" w:ascii="Arial" w:hAnsi="Arial"/>
                <w:sz w:val="20"/>
              </w:rPr>
              <w:t>Total long-term debt</w:t>
            </w:r>
          </w:p>
        </w:tc>
        <w:tc>
          <w:tcPr>
            <w:tcW w:w="1800" w:type="dxa"/>
            <w:tcBorders>
              <w:top w:val="single" w:sz="4" w:space="0" w:color="000000"/>
              <w:bottom w:val="single" w:sz="4" w:space="0" w:color="000000"/>
            </w:tcBorders>
          </w:tcPr>
          <w:p>
            <w:pPr>
              <w:pStyle w:val="Normal"/>
              <w:tabs>
                <w:tab w:val="clear" w:pos="720"/>
                <w:tab w:val="right" w:pos="1062" w:leader="none"/>
                <w:tab w:val="decimal" w:pos="1422" w:leader="none"/>
              </w:tabs>
              <w:rPr>
                <w:rFonts w:ascii="Arial" w:hAnsi="Arial" w:cs="Arial"/>
                <w:sz w:val="20"/>
              </w:rPr>
            </w:pPr>
            <w:r>
              <w:rPr>
                <w:rFonts w:cs="Arial" w:ascii="Arial" w:hAnsi="Arial"/>
                <w:sz w:val="20"/>
              </w:rPr>
              <w:tab/>
              <w:t>129,722</w:t>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bottom w:val="single" w:sz="4" w:space="0" w:color="000000"/>
            </w:tcBorders>
          </w:tcPr>
          <w:p>
            <w:pPr>
              <w:pStyle w:val="Normal"/>
              <w:tabs>
                <w:tab w:val="clear" w:pos="720"/>
                <w:tab w:val="decimal" w:pos="1024" w:leader="none"/>
              </w:tabs>
              <w:rPr>
                <w:rFonts w:ascii="Arial" w:hAnsi="Arial" w:cs="Arial"/>
                <w:sz w:val="20"/>
              </w:rPr>
            </w:pPr>
            <w:r>
              <w:rPr>
                <w:rFonts w:cs="Arial" w:ascii="Arial" w:hAnsi="Arial"/>
                <w:sz w:val="20"/>
              </w:rPr>
              <w:t>142,273</w:t>
            </w:r>
          </w:p>
        </w:tc>
      </w:tr>
      <w:tr>
        <w:trPr/>
        <w:tc>
          <w:tcPr>
            <w:tcW w:w="6138" w:type="dxa"/>
            <w:tcBorders/>
          </w:tcPr>
          <w:p>
            <w:pPr>
              <w:pStyle w:val="Normal"/>
              <w:snapToGrid w:val="false"/>
              <w:rPr>
                <w:rFonts w:ascii="Arial" w:hAnsi="Arial" w:cs="Arial"/>
                <w:sz w:val="20"/>
              </w:rPr>
            </w:pPr>
            <w:r>
              <w:rPr>
                <w:rFonts w:cs="Arial" w:ascii="Arial" w:hAnsi="Arial"/>
                <w:sz w:val="20"/>
              </w:rPr>
            </w:r>
          </w:p>
        </w:tc>
        <w:tc>
          <w:tcPr>
            <w:tcW w:w="1800" w:type="dxa"/>
            <w:tcBorders/>
          </w:tcPr>
          <w:p>
            <w:pPr>
              <w:pStyle w:val="Normal"/>
              <w:tabs>
                <w:tab w:val="clear" w:pos="720"/>
                <w:tab w:val="right" w:pos="1062" w:leader="none"/>
                <w:tab w:val="decimal" w:pos="1422" w:leader="none"/>
              </w:tabs>
              <w:snapToGrid w:val="false"/>
              <w:rPr>
                <w:rFonts w:ascii="Arial" w:hAnsi="Arial" w:cs="Arial"/>
                <w:sz w:val="20"/>
              </w:rPr>
            </w:pPr>
            <w:r>
              <w:rPr>
                <w:rFonts w:cs="Arial" w:ascii="Arial" w:hAnsi="Arial"/>
                <w:sz w:val="20"/>
              </w:rPr>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r>
      <w:tr>
        <w:trPr/>
        <w:tc>
          <w:tcPr>
            <w:tcW w:w="6138" w:type="dxa"/>
            <w:tcBorders/>
          </w:tcPr>
          <w:p>
            <w:pPr>
              <w:pStyle w:val="Normal"/>
              <w:rPr>
                <w:rFonts w:ascii="Arial" w:hAnsi="Arial" w:cs="Arial"/>
                <w:sz w:val="20"/>
              </w:rPr>
            </w:pPr>
            <w:r>
              <w:rPr>
                <w:rFonts w:cs="Arial" w:ascii="Arial" w:hAnsi="Arial"/>
                <w:sz w:val="20"/>
              </w:rPr>
              <w:t>STOCKHOLDER'S EQUITY:</w:t>
            </w:r>
          </w:p>
        </w:tc>
        <w:tc>
          <w:tcPr>
            <w:tcW w:w="1800" w:type="dxa"/>
            <w:tcBorders/>
          </w:tcPr>
          <w:p>
            <w:pPr>
              <w:pStyle w:val="Normal"/>
              <w:tabs>
                <w:tab w:val="clear" w:pos="720"/>
                <w:tab w:val="right" w:pos="1062" w:leader="none"/>
                <w:tab w:val="decimal" w:pos="1422" w:leader="none"/>
              </w:tabs>
              <w:snapToGrid w:val="false"/>
              <w:rPr>
                <w:rFonts w:ascii="Arial" w:hAnsi="Arial" w:cs="Arial"/>
                <w:sz w:val="20"/>
              </w:rPr>
            </w:pPr>
            <w:r>
              <w:rPr>
                <w:rFonts w:cs="Arial" w:ascii="Arial" w:hAnsi="Arial"/>
                <w:sz w:val="20"/>
              </w:rPr>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r>
      <w:tr>
        <w:trPr/>
        <w:tc>
          <w:tcPr>
            <w:tcW w:w="6138" w:type="dxa"/>
            <w:tcBorders/>
          </w:tcPr>
          <w:p>
            <w:pPr>
              <w:pStyle w:val="Normal"/>
              <w:ind w:start="360" w:end="0"/>
              <w:rPr>
                <w:rFonts w:ascii="Arial" w:hAnsi="Arial" w:cs="Arial"/>
                <w:sz w:val="20"/>
              </w:rPr>
            </w:pPr>
            <w:r>
              <w:rPr>
                <w:rFonts w:cs="Arial" w:ascii="Arial" w:hAnsi="Arial"/>
                <w:sz w:val="20"/>
              </w:rPr>
              <w:t xml:space="preserve">Common stock, $1 par value; 2,000 and 1,000 shares </w:t>
            </w:r>
          </w:p>
        </w:tc>
        <w:tc>
          <w:tcPr>
            <w:tcW w:w="1800" w:type="dxa"/>
            <w:tcBorders/>
          </w:tcPr>
          <w:p>
            <w:pPr>
              <w:pStyle w:val="Normal"/>
              <w:tabs>
                <w:tab w:val="clear" w:pos="720"/>
                <w:tab w:val="right" w:pos="1062" w:leader="none"/>
                <w:tab w:val="decimal" w:pos="1422" w:leader="none"/>
              </w:tabs>
              <w:snapToGrid w:val="false"/>
              <w:rPr>
                <w:rFonts w:ascii="Arial" w:hAnsi="Arial" w:cs="Arial"/>
                <w:sz w:val="20"/>
              </w:rPr>
            </w:pPr>
            <w:r>
              <w:rPr>
                <w:rFonts w:cs="Arial" w:ascii="Arial" w:hAnsi="Arial"/>
                <w:sz w:val="20"/>
              </w:rPr>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r>
      <w:tr>
        <w:trPr/>
        <w:tc>
          <w:tcPr>
            <w:tcW w:w="6138" w:type="dxa"/>
            <w:tcBorders/>
          </w:tcPr>
          <w:p>
            <w:pPr>
              <w:pStyle w:val="Normal"/>
              <w:ind w:start="630" w:end="0"/>
              <w:rPr>
                <w:rFonts w:ascii="Arial" w:hAnsi="Arial" w:cs="Arial"/>
                <w:sz w:val="20"/>
              </w:rPr>
            </w:pPr>
            <w:r>
              <w:rPr>
                <w:rFonts w:cs="Arial" w:ascii="Arial" w:hAnsi="Arial"/>
                <w:sz w:val="20"/>
              </w:rPr>
              <w:t>authorized, 1,380 and 1,378 issued and outstanding,</w:t>
            </w:r>
          </w:p>
        </w:tc>
        <w:tc>
          <w:tcPr>
            <w:tcW w:w="1800" w:type="dxa"/>
            <w:tcBorders/>
          </w:tcPr>
          <w:p>
            <w:pPr>
              <w:pStyle w:val="Normal"/>
              <w:tabs>
                <w:tab w:val="clear" w:pos="720"/>
                <w:tab w:val="right" w:pos="1062" w:leader="none"/>
                <w:tab w:val="decimal" w:pos="1422" w:leader="none"/>
              </w:tabs>
              <w:snapToGrid w:val="false"/>
              <w:rPr>
                <w:rFonts w:ascii="Arial" w:hAnsi="Arial" w:cs="Arial"/>
                <w:sz w:val="20"/>
              </w:rPr>
            </w:pPr>
            <w:r>
              <w:rPr>
                <w:rFonts w:cs="Arial" w:ascii="Arial" w:hAnsi="Arial"/>
                <w:sz w:val="20"/>
              </w:rPr>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r>
      <w:tr>
        <w:trPr/>
        <w:tc>
          <w:tcPr>
            <w:tcW w:w="6138" w:type="dxa"/>
            <w:tcBorders/>
          </w:tcPr>
          <w:p>
            <w:pPr>
              <w:pStyle w:val="Normal"/>
              <w:ind w:start="630" w:end="0"/>
              <w:rPr>
                <w:rFonts w:ascii="Arial" w:hAnsi="Arial" w:cs="Arial"/>
                <w:sz w:val="20"/>
              </w:rPr>
            </w:pPr>
            <w:r>
              <w:rPr>
                <w:rFonts w:cs="Arial" w:ascii="Arial" w:hAnsi="Arial"/>
                <w:sz w:val="20"/>
              </w:rPr>
              <w:t>at December 31, 2000 and December 31, 1999, respectively</w:t>
            </w:r>
          </w:p>
        </w:tc>
        <w:tc>
          <w:tcPr>
            <w:tcW w:w="1800" w:type="dxa"/>
            <w:tcBorders/>
          </w:tcPr>
          <w:p>
            <w:pPr>
              <w:pStyle w:val="Normal"/>
              <w:tabs>
                <w:tab w:val="clear" w:pos="720"/>
                <w:tab w:val="right" w:pos="1062" w:leader="none"/>
                <w:tab w:val="decimal" w:pos="1422" w:leader="none"/>
              </w:tabs>
              <w:rPr>
                <w:rFonts w:ascii="Arial" w:hAnsi="Arial" w:cs="Arial"/>
                <w:sz w:val="20"/>
              </w:rPr>
            </w:pPr>
            <w:r>
              <w:rPr>
                <w:rFonts w:cs="Arial" w:ascii="Arial" w:hAnsi="Arial"/>
                <w:sz w:val="20"/>
              </w:rPr>
              <w:tab/>
              <w:t>1</w:t>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tcPr>
          <w:p>
            <w:pPr>
              <w:pStyle w:val="Normal"/>
              <w:tabs>
                <w:tab w:val="clear" w:pos="720"/>
                <w:tab w:val="decimal" w:pos="1024" w:leader="none"/>
              </w:tabs>
              <w:rPr>
                <w:rFonts w:ascii="Arial" w:hAnsi="Arial" w:cs="Arial"/>
                <w:sz w:val="20"/>
              </w:rPr>
            </w:pPr>
            <w:r>
              <w:rPr>
                <w:rFonts w:cs="Arial" w:ascii="Arial" w:hAnsi="Arial"/>
                <w:sz w:val="20"/>
              </w:rPr>
              <w:t>1</w:t>
            </w:r>
          </w:p>
        </w:tc>
      </w:tr>
      <w:tr>
        <w:trPr/>
        <w:tc>
          <w:tcPr>
            <w:tcW w:w="6138" w:type="dxa"/>
            <w:tcBorders/>
          </w:tcPr>
          <w:p>
            <w:pPr>
              <w:pStyle w:val="Normal"/>
              <w:ind w:start="360" w:end="0"/>
              <w:rPr>
                <w:rFonts w:ascii="Arial" w:hAnsi="Arial" w:cs="Arial"/>
                <w:sz w:val="20"/>
              </w:rPr>
            </w:pPr>
            <w:r>
              <w:rPr>
                <w:rFonts w:cs="Arial" w:ascii="Arial" w:hAnsi="Arial"/>
                <w:sz w:val="20"/>
              </w:rPr>
              <w:t>Additional paid</w:t>
              <w:noBreakHyphen/>
              <w:t>in</w:t>
              <w:noBreakHyphen/>
              <w:t>capital</w:t>
            </w:r>
          </w:p>
        </w:tc>
        <w:tc>
          <w:tcPr>
            <w:tcW w:w="1800" w:type="dxa"/>
            <w:tcBorders/>
          </w:tcPr>
          <w:p>
            <w:pPr>
              <w:pStyle w:val="Normal"/>
              <w:tabs>
                <w:tab w:val="clear" w:pos="720"/>
                <w:tab w:val="right" w:pos="1062" w:leader="none"/>
                <w:tab w:val="decimal" w:pos="1422" w:leader="none"/>
              </w:tabs>
              <w:rPr>
                <w:rFonts w:ascii="Arial" w:hAnsi="Arial" w:cs="Arial"/>
                <w:sz w:val="20"/>
              </w:rPr>
            </w:pPr>
            <w:r>
              <w:rPr>
                <w:rFonts w:cs="Arial" w:ascii="Arial" w:hAnsi="Arial"/>
                <w:sz w:val="20"/>
              </w:rPr>
              <w:tab/>
              <w:t>227,318</w:t>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tcPr>
          <w:p>
            <w:pPr>
              <w:pStyle w:val="Normal"/>
              <w:tabs>
                <w:tab w:val="clear" w:pos="720"/>
                <w:tab w:val="decimal" w:pos="1024" w:leader="none"/>
              </w:tabs>
              <w:rPr>
                <w:rFonts w:ascii="Arial" w:hAnsi="Arial" w:cs="Arial"/>
                <w:sz w:val="20"/>
              </w:rPr>
            </w:pPr>
            <w:r>
              <w:rPr>
                <w:rFonts w:cs="Arial" w:ascii="Arial" w:hAnsi="Arial"/>
                <w:sz w:val="20"/>
              </w:rPr>
              <w:t>172,318</w:t>
            </w:r>
          </w:p>
        </w:tc>
      </w:tr>
      <w:tr>
        <w:trPr/>
        <w:tc>
          <w:tcPr>
            <w:tcW w:w="6138" w:type="dxa"/>
            <w:tcBorders/>
          </w:tcPr>
          <w:p>
            <w:pPr>
              <w:pStyle w:val="Normal"/>
              <w:ind w:start="360" w:end="0"/>
              <w:rPr>
                <w:rFonts w:ascii="Arial" w:hAnsi="Arial" w:cs="Arial"/>
                <w:sz w:val="20"/>
              </w:rPr>
            </w:pPr>
            <w:r>
              <w:rPr>
                <w:rFonts w:cs="Arial" w:ascii="Arial" w:hAnsi="Arial"/>
                <w:sz w:val="20"/>
              </w:rPr>
              <w:t>Accumulated deficit</w:t>
            </w:r>
          </w:p>
        </w:tc>
        <w:tc>
          <w:tcPr>
            <w:tcW w:w="1800" w:type="dxa"/>
            <w:tcBorders/>
          </w:tcPr>
          <w:p>
            <w:pPr>
              <w:pStyle w:val="Normal"/>
              <w:tabs>
                <w:tab w:val="clear" w:pos="720"/>
                <w:tab w:val="right" w:pos="1094" w:leader="none"/>
                <w:tab w:val="decimal" w:pos="1422" w:leader="none"/>
              </w:tabs>
              <w:rPr>
                <w:rFonts w:ascii="Arial" w:hAnsi="Arial" w:cs="Arial"/>
                <w:sz w:val="20"/>
              </w:rPr>
            </w:pPr>
            <w:r>
              <w:rPr>
                <w:rFonts w:cs="Arial" w:ascii="Arial" w:hAnsi="Arial"/>
                <w:sz w:val="20"/>
              </w:rPr>
              <w:tab/>
              <w:t>(85,432)</w:t>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bottom w:val="single" w:sz="4" w:space="0" w:color="000000"/>
            </w:tcBorders>
          </w:tcPr>
          <w:p>
            <w:pPr>
              <w:pStyle w:val="Normal"/>
              <w:tabs>
                <w:tab w:val="clear" w:pos="720"/>
                <w:tab w:val="decimal" w:pos="1024" w:leader="none"/>
              </w:tabs>
              <w:rPr>
                <w:rFonts w:ascii="Arial" w:hAnsi="Arial" w:cs="Arial"/>
                <w:sz w:val="20"/>
              </w:rPr>
            </w:pPr>
            <w:r>
              <w:rPr>
                <w:rFonts w:cs="Arial" w:ascii="Arial" w:hAnsi="Arial"/>
                <w:sz w:val="20"/>
              </w:rPr>
              <w:t>(107,293)</w:t>
            </w:r>
          </w:p>
        </w:tc>
      </w:tr>
      <w:tr>
        <w:trPr/>
        <w:tc>
          <w:tcPr>
            <w:tcW w:w="6138" w:type="dxa"/>
            <w:tcBorders/>
          </w:tcPr>
          <w:p>
            <w:pPr>
              <w:pStyle w:val="Normal"/>
              <w:ind w:start="900" w:end="0"/>
              <w:rPr>
                <w:rFonts w:ascii="Arial" w:hAnsi="Arial" w:cs="Arial"/>
                <w:sz w:val="20"/>
              </w:rPr>
            </w:pPr>
            <w:r>
              <w:rPr>
                <w:rFonts w:cs="Arial" w:ascii="Arial" w:hAnsi="Arial"/>
                <w:sz w:val="20"/>
              </w:rPr>
              <w:t>Total stockholder's equity</w:t>
            </w:r>
          </w:p>
        </w:tc>
        <w:tc>
          <w:tcPr>
            <w:tcW w:w="1800" w:type="dxa"/>
            <w:tcBorders>
              <w:top w:val="single" w:sz="4" w:space="0" w:color="000000"/>
              <w:bottom w:val="single" w:sz="4" w:space="0" w:color="000000"/>
            </w:tcBorders>
          </w:tcPr>
          <w:p>
            <w:pPr>
              <w:pStyle w:val="Normal"/>
              <w:tabs>
                <w:tab w:val="clear" w:pos="720"/>
                <w:tab w:val="right" w:pos="1062" w:leader="none"/>
                <w:tab w:val="decimal" w:pos="1422" w:leader="none"/>
              </w:tabs>
              <w:rPr>
                <w:rFonts w:ascii="Arial" w:hAnsi="Arial" w:cs="Arial"/>
                <w:sz w:val="20"/>
              </w:rPr>
            </w:pPr>
            <w:r>
              <w:rPr>
                <w:rFonts w:cs="Arial" w:ascii="Arial" w:hAnsi="Arial"/>
                <w:sz w:val="20"/>
              </w:rPr>
              <w:tab/>
              <w:t>141,887</w:t>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bottom w:val="single" w:sz="4" w:space="0" w:color="000000"/>
            </w:tcBorders>
          </w:tcPr>
          <w:p>
            <w:pPr>
              <w:pStyle w:val="Normal"/>
              <w:tabs>
                <w:tab w:val="clear" w:pos="720"/>
                <w:tab w:val="decimal" w:pos="1024" w:leader="none"/>
              </w:tabs>
              <w:rPr>
                <w:rFonts w:ascii="Arial" w:hAnsi="Arial" w:cs="Arial"/>
                <w:sz w:val="20"/>
              </w:rPr>
            </w:pPr>
            <w:r>
              <w:rPr>
                <w:rFonts w:cs="Arial" w:ascii="Arial" w:hAnsi="Arial"/>
                <w:sz w:val="20"/>
              </w:rPr>
              <w:t>65,026</w:t>
            </w:r>
          </w:p>
        </w:tc>
      </w:tr>
      <w:tr>
        <w:trPr/>
        <w:tc>
          <w:tcPr>
            <w:tcW w:w="6138" w:type="dxa"/>
            <w:tcBorders/>
          </w:tcPr>
          <w:p>
            <w:pPr>
              <w:pStyle w:val="Normal"/>
              <w:snapToGrid w:val="false"/>
              <w:rPr>
                <w:rFonts w:ascii="Arial" w:hAnsi="Arial" w:cs="Arial"/>
                <w:sz w:val="20"/>
              </w:rPr>
            </w:pPr>
            <w:r>
              <w:rPr>
                <w:rFonts w:cs="Arial" w:ascii="Arial" w:hAnsi="Arial"/>
                <w:sz w:val="20"/>
              </w:rPr>
            </w:r>
          </w:p>
        </w:tc>
        <w:tc>
          <w:tcPr>
            <w:tcW w:w="1800" w:type="dxa"/>
            <w:tcBorders/>
          </w:tcPr>
          <w:p>
            <w:pPr>
              <w:pStyle w:val="Normal"/>
              <w:tabs>
                <w:tab w:val="clear" w:pos="720"/>
                <w:tab w:val="right" w:pos="1062" w:leader="none"/>
                <w:tab w:val="decimal" w:pos="1422" w:leader="none"/>
              </w:tabs>
              <w:snapToGrid w:val="false"/>
              <w:rPr>
                <w:rFonts w:ascii="Arial" w:hAnsi="Arial" w:cs="Arial"/>
                <w:sz w:val="20"/>
              </w:rPr>
            </w:pPr>
            <w:r>
              <w:rPr>
                <w:rFonts w:cs="Arial" w:ascii="Arial" w:hAnsi="Arial"/>
                <w:sz w:val="20"/>
              </w:rPr>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r>
      <w:tr>
        <w:trPr>
          <w:trHeight w:val="308" w:hRule="atLeast"/>
        </w:trPr>
        <w:tc>
          <w:tcPr>
            <w:tcW w:w="6138" w:type="dxa"/>
            <w:tcBorders/>
            <w:vAlign w:val="bottom"/>
          </w:tcPr>
          <w:p>
            <w:pPr>
              <w:pStyle w:val="Normal"/>
              <w:rPr>
                <w:rFonts w:ascii="Arial" w:hAnsi="Arial" w:cs="Arial"/>
                <w:sz w:val="20"/>
              </w:rPr>
            </w:pPr>
            <w:r>
              <w:rPr>
                <w:rFonts w:cs="Arial" w:ascii="Arial" w:hAnsi="Arial"/>
                <w:sz w:val="20"/>
              </w:rPr>
              <w:t>TOTAL LIABILITIES and STOCKHOLDER'S EQUITY</w:t>
            </w:r>
          </w:p>
        </w:tc>
        <w:tc>
          <w:tcPr>
            <w:tcW w:w="1800" w:type="dxa"/>
            <w:tcBorders>
              <w:bottom w:val="double" w:sz="4" w:space="0" w:color="000000"/>
            </w:tcBorders>
          </w:tcPr>
          <w:p>
            <w:pPr>
              <w:pStyle w:val="Normal"/>
              <w:tabs>
                <w:tab w:val="clear" w:pos="720"/>
                <w:tab w:val="right" w:pos="1062" w:leader="none"/>
                <w:tab w:val="decimal" w:pos="1422" w:leader="none"/>
              </w:tabs>
              <w:rPr>
                <w:rFonts w:ascii="Arial" w:hAnsi="Arial" w:cs="Arial"/>
                <w:sz w:val="20"/>
              </w:rPr>
            </w:pPr>
            <w:r>
              <w:rPr>
                <w:rFonts w:cs="Arial" w:ascii="Arial" w:hAnsi="Arial"/>
                <w:sz w:val="20"/>
              </w:rPr>
              <w:tab/>
              <w:t>$340,856</w:t>
            </w:r>
          </w:p>
        </w:tc>
        <w:tc>
          <w:tcPr>
            <w:tcW w:w="360" w:type="dxa"/>
            <w:tcBorders/>
          </w:tcPr>
          <w:p>
            <w:pPr>
              <w:pStyle w:val="Normal"/>
              <w:tabs>
                <w:tab w:val="clear" w:pos="720"/>
                <w:tab w:val="decimal" w:pos="1024" w:leader="none"/>
              </w:tabs>
              <w:snapToGrid w:val="false"/>
              <w:rPr>
                <w:rFonts w:ascii="Arial" w:hAnsi="Arial" w:cs="Arial"/>
                <w:sz w:val="20"/>
              </w:rPr>
            </w:pPr>
            <w:r>
              <w:rPr>
                <w:rFonts w:cs="Arial" w:ascii="Arial" w:hAnsi="Arial"/>
                <w:sz w:val="20"/>
              </w:rPr>
            </w:r>
          </w:p>
        </w:tc>
        <w:tc>
          <w:tcPr>
            <w:tcW w:w="1620" w:type="dxa"/>
            <w:tcBorders>
              <w:bottom w:val="double" w:sz="4" w:space="0" w:color="000000"/>
            </w:tcBorders>
            <w:vAlign w:val="bottom"/>
          </w:tcPr>
          <w:p>
            <w:pPr>
              <w:pStyle w:val="Normal"/>
              <w:tabs>
                <w:tab w:val="clear" w:pos="720"/>
                <w:tab w:val="decimal" w:pos="1024" w:leader="none"/>
              </w:tabs>
              <w:rPr>
                <w:rFonts w:ascii="Arial" w:hAnsi="Arial" w:cs="Arial"/>
                <w:sz w:val="20"/>
              </w:rPr>
            </w:pPr>
            <w:r>
              <w:rPr>
                <w:rFonts w:cs="Arial" w:ascii="Arial" w:hAnsi="Arial"/>
                <w:sz w:val="20"/>
              </w:rPr>
              <w:t>$297,512</w:t>
            </w:r>
          </w:p>
        </w:tc>
      </w:tr>
    </w:tbl>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sz w:val="20"/>
        </w:rPr>
      </w:pPr>
      <w:r>
        <w:rPr>
          <w:rFonts w:cs="Arial" w:ascii="Arial" w:hAnsi="Arial"/>
          <w:sz w:val="20"/>
        </w:rPr>
      </w:r>
      <w:r>
        <w:br w:type="page"/>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sz w:val="20"/>
        </w:rPr>
      </w:pPr>
      <w:r>
        <w:rPr>
          <w:rFonts w:cs="Arial" w:ascii="Arial" w:hAnsi="Arial"/>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b/>
          <w:sz w:val="20"/>
        </w:rPr>
      </w:pPr>
      <w:r>
        <w:rPr>
          <w:rFonts w:cs="Arial" w:ascii="Arial" w:hAnsi="Arial"/>
          <w:b/>
          <w:sz w:val="20"/>
        </w:rPr>
        <w:t>MARINER ENERGY, INC.</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b/>
          <w:sz w:val="20"/>
        </w:rPr>
      </w:pPr>
      <w:r>
        <w:rPr>
          <w:rFonts w:cs="Arial" w:ascii="Arial" w:hAnsi="Arial"/>
          <w:b/>
          <w:sz w:val="20"/>
        </w:rPr>
        <w:t xml:space="preserve">STATEMENTS OF OPERATIONS </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b/>
          <w:sz w:val="20"/>
        </w:rPr>
      </w:pPr>
      <w:r>
        <w:rPr>
          <w:rFonts w:cs="Arial" w:ascii="Arial" w:hAnsi="Arial"/>
          <w:b/>
          <w:sz w:val="20"/>
        </w:rPr>
        <w:t>(Unaudited, in thousands)</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b/>
          <w:sz w:val="20"/>
        </w:rPr>
      </w:pPr>
      <w:r>
        <w:rPr>
          <w:rFonts w:cs="Arial" w:ascii="Arial" w:hAnsi="Arial"/>
          <w:b/>
          <w:sz w:val="20"/>
        </w:rPr>
      </w:r>
    </w:p>
    <w:tbl>
      <w:tblPr>
        <w:tblW w:w="10349" w:type="dxa"/>
        <w:jc w:val="center"/>
        <w:tblInd w:w="0" w:type="dxa"/>
        <w:tblLayout w:type="fixed"/>
        <w:tblCellMar>
          <w:top w:w="0" w:type="dxa"/>
          <w:start w:w="120" w:type="dxa"/>
          <w:bottom w:w="0" w:type="dxa"/>
          <w:end w:w="120" w:type="dxa"/>
        </w:tblCellMar>
      </w:tblPr>
      <w:tblGrid>
        <w:gridCol w:w="4230"/>
        <w:gridCol w:w="263"/>
        <w:gridCol w:w="1312"/>
        <w:gridCol w:w="270"/>
        <w:gridCol w:w="1305"/>
        <w:gridCol w:w="266"/>
        <w:gridCol w:w="4"/>
        <w:gridCol w:w="1173"/>
        <w:gridCol w:w="266"/>
        <w:gridCol w:w="1260"/>
      </w:tblGrid>
      <w:tr>
        <w:trPr>
          <w:trHeight w:val="468" w:hRule="exact"/>
        </w:trPr>
        <w:tc>
          <w:tcPr>
            <w:tcW w:w="423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center"/>
              <w:rPr>
                <w:rFonts w:ascii="Arial" w:hAnsi="Arial" w:cs="Arial"/>
                <w:sz w:val="20"/>
              </w:rPr>
            </w:pPr>
            <w:r>
              <w:rPr>
                <w:rFonts w:cs="Arial" w:ascii="Arial" w:hAnsi="Arial"/>
                <w:sz w:val="20"/>
              </w:rPr>
            </w:r>
          </w:p>
        </w:tc>
        <w:tc>
          <w:tcPr>
            <w:tcW w:w="2887" w:type="dxa"/>
            <w:gridSpan w:val="3"/>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sz w:val="20"/>
              </w:rPr>
            </w:pPr>
            <w:r>
              <w:rPr>
                <w:rFonts w:cs="Arial" w:ascii="Arial" w:hAnsi="Arial"/>
                <w:sz w:val="20"/>
              </w:rPr>
              <w:t>Three Months Ended December 31</w:t>
            </w:r>
          </w:p>
        </w:tc>
        <w:tc>
          <w:tcPr>
            <w:tcW w:w="0" w:type="dxa"/>
            <w:vMerge w:val="continue"/>
            <w:tcBorders>
              <w:bottom w:val="single" w:sz="6" w:space="0" w:color="000000"/>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0" w:type="dxa"/>
            <w:vMerge w:val="continue"/>
            <w:tcBorders>
              <w:bottom w:val="single" w:sz="6" w:space="0" w:color="000000"/>
            </w:tcBorders>
          </w:tcPr>
          <w:p>
            <w:pPr>
              <w:pStyle w:val="Normal"/>
              <w:tabs>
                <w:tab w:val="clear" w:pos="720"/>
                <w:tab w:val="left" w:pos="-900" w:leader="none"/>
                <w:tab w:val="left" w:pos="-344" w:leader="none"/>
                <w:tab w:val="decimal" w:pos="780"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2703" w:type="dxa"/>
            <w:gridSpan w:val="4"/>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sz w:val="20"/>
              </w:rPr>
            </w:pPr>
            <w:r>
              <w:rPr>
                <w:rFonts w:cs="Arial" w:ascii="Arial" w:hAnsi="Arial"/>
                <w:sz w:val="20"/>
              </w:rPr>
              <w:t>Twelve Months Ended December 31</w:t>
            </w:r>
          </w:p>
        </w:tc>
        <w:tc>
          <w:tcPr>
            <w:tcW w:w="0" w:type="dxa"/>
            <w:vMerge w:val="continue"/>
            <w:tcBorders>
              <w:bottom w:val="single" w:sz="6" w:space="0" w:color="000000"/>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center"/>
              <w:rPr>
                <w:rFonts w:ascii="Arial" w:hAnsi="Arial" w:cs="Arial"/>
                <w:sz w:val="20"/>
              </w:rPr>
            </w:pPr>
            <w:r>
              <w:rPr>
                <w:rFonts w:cs="Arial" w:ascii="Arial" w:hAnsi="Arial"/>
                <w:sz w:val="20"/>
              </w:rPr>
            </w:r>
          </w:p>
        </w:tc>
        <w:tc>
          <w:tcPr>
            <w:tcW w:w="0" w:type="dxa"/>
            <w:vMerge w:val="continue"/>
            <w:tcBorders>
              <w:bottom w:val="single" w:sz="6" w:space="0" w:color="000000"/>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center"/>
              <w:rPr>
                <w:rFonts w:ascii="Arial" w:hAnsi="Arial" w:cs="Arial"/>
                <w:sz w:val="20"/>
              </w:rPr>
            </w:pPr>
            <w:r>
              <w:rPr>
                <w:rFonts w:cs="Arial" w:ascii="Arial" w:hAnsi="Arial"/>
                <w:sz w:val="20"/>
              </w:rPr>
            </w:r>
          </w:p>
        </w:tc>
      </w:tr>
      <w:tr>
        <w:trPr>
          <w:trHeight w:val="240" w:hRule="exact"/>
        </w:trPr>
        <w:tc>
          <w:tcPr>
            <w:tcW w:w="423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12" w:type="dxa"/>
            <w:tcBorders>
              <w:bottom w:val="single" w:sz="6" w:space="0" w:color="000000"/>
            </w:tcBorders>
            <w:vAlign w:val="center"/>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sz w:val="20"/>
              </w:rPr>
            </w:pPr>
            <w:r>
              <w:rPr>
                <w:rFonts w:cs="Arial" w:ascii="Arial" w:hAnsi="Arial"/>
                <w:sz w:val="20"/>
              </w:rPr>
              <w:t>2000</w:t>
            </w:r>
          </w:p>
        </w:tc>
        <w:tc>
          <w:tcPr>
            <w:tcW w:w="270" w:type="dxa"/>
            <w:tcBorders/>
            <w:vAlign w:val="center"/>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center"/>
              <w:rPr>
                <w:rFonts w:ascii="Arial" w:hAnsi="Arial" w:cs="Arial"/>
                <w:sz w:val="20"/>
              </w:rPr>
            </w:pPr>
            <w:r>
              <w:rPr>
                <w:rFonts w:cs="Arial" w:ascii="Arial" w:hAnsi="Arial"/>
                <w:sz w:val="20"/>
              </w:rPr>
            </w:r>
          </w:p>
        </w:tc>
        <w:tc>
          <w:tcPr>
            <w:tcW w:w="1305" w:type="dxa"/>
            <w:tcBorders>
              <w:bottom w:val="single" w:sz="6" w:space="0" w:color="000000"/>
            </w:tcBorders>
            <w:vAlign w:val="center"/>
          </w:tcPr>
          <w:p>
            <w:pPr>
              <w:pStyle w:val="Normal"/>
              <w:tabs>
                <w:tab w:val="clear" w:pos="720"/>
                <w:tab w:val="left" w:pos="-900" w:leader="none"/>
                <w:tab w:val="left" w:pos="-344" w:leader="none"/>
                <w:tab w:val="decimal" w:pos="780"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sz w:val="20"/>
              </w:rPr>
            </w:pPr>
            <w:r>
              <w:rPr>
                <w:rFonts w:cs="Arial" w:ascii="Arial" w:hAnsi="Arial"/>
                <w:sz w:val="20"/>
              </w:rPr>
              <w:t>1999</w:t>
            </w:r>
          </w:p>
        </w:tc>
        <w:tc>
          <w:tcPr>
            <w:tcW w:w="266" w:type="dxa"/>
            <w:tcBorders/>
            <w:vAlign w:val="center"/>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7" w:type="dxa"/>
            <w:gridSpan w:val="2"/>
            <w:tcBorders>
              <w:bottom w:val="single" w:sz="6" w:space="0" w:color="000000"/>
            </w:tcBorders>
            <w:vAlign w:val="center"/>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sz w:val="20"/>
              </w:rPr>
            </w:pPr>
            <w:r>
              <w:rPr>
                <w:rFonts w:cs="Arial" w:ascii="Arial" w:hAnsi="Arial"/>
                <w:sz w:val="20"/>
              </w:rPr>
              <w:t>2000</w:t>
            </w:r>
          </w:p>
        </w:tc>
        <w:tc>
          <w:tcPr>
            <w:tcW w:w="266" w:type="dxa"/>
            <w:tcBorders/>
            <w:vAlign w:val="center"/>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center"/>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sz w:val="20"/>
              </w:rPr>
            </w:pPr>
            <w:r>
              <w:rPr>
                <w:rFonts w:cs="Arial" w:ascii="Arial" w:hAnsi="Arial"/>
                <w:sz w:val="20"/>
              </w:rPr>
              <w:t>1999</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REVENUES:</w:t>
            </w:r>
          </w:p>
        </w:tc>
        <w:tc>
          <w:tcPr>
            <w:tcW w:w="263"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12"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27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05" w:type="dxa"/>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7" w:type="dxa"/>
            <w:gridSpan w:val="2"/>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eastAsia="Arial" w:cs="Arial" w:ascii="Arial" w:hAnsi="Arial"/>
                <w:sz w:val="20"/>
              </w:rPr>
              <w:t xml:space="preserve">   </w:t>
            </w:r>
            <w:r>
              <w:rPr>
                <w:rFonts w:cs="Arial" w:ascii="Arial" w:hAnsi="Arial"/>
                <w:sz w:val="20"/>
              </w:rPr>
              <w:t>Oil sales</w:t>
            </w:r>
          </w:p>
        </w:tc>
        <w:tc>
          <w:tcPr>
            <w:tcW w:w="263" w:type="dxa"/>
            <w:tcBorders/>
            <w:vAlign w:val="bottom"/>
          </w:tcPr>
          <w:p>
            <w:pPr>
              <w:pStyle w:val="TOC1"/>
              <w:snapToGrid w:val="false"/>
              <w:rPr>
                <w:rFonts w:ascii="Arial" w:hAnsi="Arial" w:cs="Arial"/>
                <w:sz w:val="20"/>
              </w:rPr>
            </w:pPr>
            <w:r>
              <w:rPr>
                <w:rFonts w:cs="Arial" w:ascii="Arial" w:hAnsi="Arial"/>
                <w:sz w:val="20"/>
              </w:rPr>
            </w:r>
          </w:p>
        </w:tc>
        <w:tc>
          <w:tcPr>
            <w:tcW w:w="1312" w:type="dxa"/>
            <w:tcBorders/>
            <w:vAlign w:val="bottom"/>
          </w:tcPr>
          <w:p>
            <w:pPr>
              <w:pStyle w:val="TOC1"/>
              <w:rPr>
                <w:rFonts w:ascii="Arial" w:hAnsi="Arial" w:cs="Arial"/>
              </w:rPr>
            </w:pPr>
            <w:r>
              <w:rPr>
                <w:rFonts w:cs="Arial" w:ascii="Arial" w:hAnsi="Arial"/>
              </w:rPr>
              <w:tab/>
              <w:t>$14,034</w:t>
            </w:r>
          </w:p>
        </w:tc>
        <w:tc>
          <w:tcPr>
            <w:tcW w:w="270" w:type="dxa"/>
            <w:tcBorders/>
            <w:vAlign w:val="bottom"/>
          </w:tcPr>
          <w:p>
            <w:pPr>
              <w:pStyle w:val="TOC1"/>
              <w:snapToGrid w:val="false"/>
              <w:rPr>
                <w:rFonts w:ascii="Arial" w:hAnsi="Arial" w:cs="Arial"/>
              </w:rPr>
            </w:pPr>
            <w:r>
              <w:rPr>
                <w:rFonts w:cs="Arial" w:ascii="Arial" w:hAnsi="Arial"/>
              </w:rPr>
            </w:r>
          </w:p>
        </w:tc>
        <w:tc>
          <w:tcPr>
            <w:tcW w:w="1305" w:type="dxa"/>
            <w:tcBorders/>
            <w:vAlign w:val="bottom"/>
          </w:tcPr>
          <w:p>
            <w:pPr>
              <w:pStyle w:val="TOC1"/>
              <w:rPr>
                <w:rFonts w:ascii="Arial" w:hAnsi="Arial" w:cs="Arial"/>
              </w:rPr>
            </w:pPr>
            <w:r>
              <w:rPr>
                <w:rFonts w:cs="Arial" w:ascii="Arial" w:hAnsi="Arial"/>
              </w:rPr>
              <w:tab/>
              <w:t>$1,574</w:t>
            </w:r>
          </w:p>
        </w:tc>
        <w:tc>
          <w:tcPr>
            <w:tcW w:w="270" w:type="dxa"/>
            <w:gridSpan w:val="2"/>
            <w:tcBorders/>
            <w:vAlign w:val="bottom"/>
          </w:tcPr>
          <w:p>
            <w:pPr>
              <w:pStyle w:val="TOC1"/>
              <w:snapToGrid w:val="false"/>
              <w:rPr>
                <w:rFonts w:ascii="Arial" w:hAnsi="Arial" w:cs="Arial"/>
              </w:rPr>
            </w:pPr>
            <w:r>
              <w:rPr>
                <w:rFonts w:cs="Arial" w:ascii="Arial" w:hAnsi="Arial"/>
              </w:rPr>
            </w:r>
          </w:p>
        </w:tc>
        <w:tc>
          <w:tcPr>
            <w:tcW w:w="1173" w:type="dxa"/>
            <w:tcBorders/>
            <w:vAlign w:val="bottom"/>
          </w:tcPr>
          <w:p>
            <w:pPr>
              <w:pStyle w:val="TOC1"/>
              <w:rPr>
                <w:rFonts w:ascii="Arial" w:hAnsi="Arial" w:cs="Arial"/>
              </w:rPr>
            </w:pPr>
            <w:r>
              <w:rPr>
                <w:rFonts w:cs="Arial" w:ascii="Arial" w:hAnsi="Arial"/>
              </w:rPr>
              <w:tab/>
              <w:t>$37,959</w:t>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TOC1"/>
              <w:rPr>
                <w:rFonts w:ascii="Arial" w:hAnsi="Arial" w:cs="Arial"/>
              </w:rPr>
            </w:pPr>
            <w:r>
              <w:rPr>
                <w:rFonts w:cs="Arial" w:ascii="Arial" w:hAnsi="Arial"/>
              </w:rPr>
              <w:tab/>
              <w:t>$8,888</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eastAsia="Arial" w:cs="Arial" w:ascii="Arial" w:hAnsi="Arial"/>
                <w:sz w:val="20"/>
              </w:rPr>
              <w:t xml:space="preserve">   </w:t>
            </w:r>
            <w:r>
              <w:rPr>
                <w:rFonts w:cs="Arial" w:ascii="Arial" w:hAnsi="Arial"/>
                <w:sz w:val="20"/>
              </w:rPr>
              <w:t>Gas sales</w:t>
            </w:r>
          </w:p>
        </w:tc>
        <w:tc>
          <w:tcPr>
            <w:tcW w:w="263" w:type="dxa"/>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312" w:type="dxa"/>
            <w:tcBorders>
              <w:bottom w:val="single" w:sz="6" w:space="0" w:color="000000"/>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18,147</w:t>
            </w:r>
          </w:p>
        </w:tc>
        <w:tc>
          <w:tcPr>
            <w:tcW w:w="270" w:type="dxa"/>
            <w:tcBorders/>
            <w:vAlign w:val="bottom"/>
          </w:tcPr>
          <w:p>
            <w:pPr>
              <w:pStyle w:val="TOC1"/>
              <w:snapToGrid w:val="false"/>
              <w:rPr>
                <w:rFonts w:ascii="Arial" w:hAnsi="Arial" w:cs="Arial"/>
                <w:sz w:val="20"/>
              </w:rPr>
            </w:pPr>
            <w:r>
              <w:rPr>
                <w:rFonts w:cs="Arial" w:ascii="Arial" w:hAnsi="Arial"/>
                <w:sz w:val="20"/>
              </w:rPr>
            </w:r>
          </w:p>
        </w:tc>
        <w:tc>
          <w:tcPr>
            <w:tcW w:w="1305" w:type="dxa"/>
            <w:tcBorders>
              <w:bottom w:val="single" w:sz="6" w:space="0" w:color="000000"/>
            </w:tcBorders>
            <w:vAlign w:val="bottom"/>
          </w:tcPr>
          <w:p>
            <w:pPr>
              <w:pStyle w:val="TOC1"/>
              <w:rPr>
                <w:rFonts w:ascii="Arial" w:hAnsi="Arial" w:cs="Arial"/>
              </w:rPr>
            </w:pPr>
            <w:r>
              <w:rPr>
                <w:rFonts w:cs="Arial" w:ascii="Arial" w:hAnsi="Arial"/>
              </w:rPr>
              <w:tab/>
              <w:t>12,383</w:t>
            </w:r>
          </w:p>
        </w:tc>
        <w:tc>
          <w:tcPr>
            <w:tcW w:w="270" w:type="dxa"/>
            <w:gridSpan w:val="2"/>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173" w:type="dxa"/>
            <w:tcBorders>
              <w:bottom w:val="single" w:sz="6" w:space="0" w:color="000000"/>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83,191</w:t>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clear" w:pos="720"/>
                <w:tab w:val="left" w:pos="-900" w:leader="none"/>
                <w:tab w:val="left" w:pos="-344" w:leader="none"/>
                <w:tab w:val="decimal" w:pos="74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45,597</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eastAsia="Arial" w:cs="Arial" w:ascii="Arial" w:hAnsi="Arial"/>
                <w:sz w:val="20"/>
              </w:rPr>
              <w:t xml:space="preserve">          </w:t>
            </w:r>
            <w:r>
              <w:rPr>
                <w:rFonts w:cs="Arial" w:ascii="Arial" w:hAnsi="Arial"/>
                <w:sz w:val="20"/>
              </w:rPr>
              <w:t>Total revenues</w:t>
            </w:r>
          </w:p>
        </w:tc>
        <w:tc>
          <w:tcPr>
            <w:tcW w:w="263" w:type="dxa"/>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312" w:type="dxa"/>
            <w:tcBorders>
              <w:bottom w:val="single" w:sz="6" w:space="0" w:color="000000"/>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32,181</w:t>
            </w:r>
          </w:p>
        </w:tc>
        <w:tc>
          <w:tcPr>
            <w:tcW w:w="270" w:type="dxa"/>
            <w:tcBorders/>
            <w:vAlign w:val="bottom"/>
          </w:tcPr>
          <w:p>
            <w:pPr>
              <w:pStyle w:val="TOC1"/>
              <w:snapToGrid w:val="false"/>
              <w:rPr>
                <w:rFonts w:ascii="Arial" w:hAnsi="Arial" w:cs="Arial"/>
                <w:sz w:val="20"/>
              </w:rPr>
            </w:pPr>
            <w:r>
              <w:rPr>
                <w:rFonts w:cs="Arial" w:ascii="Arial" w:hAnsi="Arial"/>
                <w:sz w:val="20"/>
              </w:rPr>
            </w:r>
          </w:p>
        </w:tc>
        <w:tc>
          <w:tcPr>
            <w:tcW w:w="1305" w:type="dxa"/>
            <w:tcBorders>
              <w:bottom w:val="single" w:sz="6" w:space="0" w:color="000000"/>
            </w:tcBorders>
            <w:vAlign w:val="bottom"/>
          </w:tcPr>
          <w:p>
            <w:pPr>
              <w:pStyle w:val="TOC1"/>
              <w:rPr>
                <w:rFonts w:ascii="Arial" w:hAnsi="Arial" w:cs="Arial"/>
              </w:rPr>
            </w:pPr>
            <w:r>
              <w:rPr>
                <w:rFonts w:cs="Arial" w:ascii="Arial" w:hAnsi="Arial"/>
              </w:rPr>
              <w:tab/>
              <w:t>13,957</w:t>
            </w:r>
          </w:p>
        </w:tc>
        <w:tc>
          <w:tcPr>
            <w:tcW w:w="270" w:type="dxa"/>
            <w:gridSpan w:val="2"/>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173" w:type="dxa"/>
            <w:tcBorders>
              <w:bottom w:val="single" w:sz="6" w:space="0" w:color="000000"/>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121,150</w:t>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clear" w:pos="720"/>
                <w:tab w:val="left" w:pos="-900" w:leader="none"/>
                <w:tab w:val="left" w:pos="-344" w:leader="none"/>
                <w:tab w:val="decimal" w:pos="74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54,485</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COSTS AND EXPENSES:</w:t>
            </w:r>
          </w:p>
        </w:tc>
        <w:tc>
          <w:tcPr>
            <w:tcW w:w="263" w:type="dxa"/>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312" w:type="dxa"/>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270" w:type="dxa"/>
            <w:tcBorders/>
            <w:vAlign w:val="bottom"/>
          </w:tcPr>
          <w:p>
            <w:pPr>
              <w:pStyle w:val="Normal"/>
              <w:tabs>
                <w:tab w:val="clear" w:pos="720"/>
                <w:tab w:val="left" w:pos="-900" w:leader="none"/>
                <w:tab w:val="left" w:pos="-344" w:leader="none"/>
                <w:tab w:val="left" w:pos="326" w:leader="none"/>
                <w:tab w:val="decimal" w:pos="684" w:leader="none"/>
                <w:tab w:val="decimal" w:pos="774"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305" w:type="dxa"/>
            <w:tcBorders/>
            <w:vAlign w:val="bottom"/>
          </w:tcPr>
          <w:p>
            <w:pPr>
              <w:pStyle w:val="Normal"/>
              <w:tabs>
                <w:tab w:val="clear" w:pos="720"/>
                <w:tab w:val="left" w:pos="-900" w:leader="none"/>
                <w:tab w:val="left" w:pos="-344" w:leader="none"/>
                <w:tab w:val="left" w:pos="326" w:leader="none"/>
                <w:tab w:val="decimal" w:pos="684" w:leader="none"/>
                <w:tab w:val="decimal" w:pos="774"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270" w:type="dxa"/>
            <w:gridSpan w:val="2"/>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173" w:type="dxa"/>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4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eastAsia="Arial" w:cs="Arial" w:ascii="Arial" w:hAnsi="Arial"/>
                <w:sz w:val="20"/>
              </w:rPr>
              <w:t xml:space="preserve">   </w:t>
            </w:r>
            <w:r>
              <w:rPr>
                <w:rFonts w:cs="Arial" w:ascii="Arial" w:hAnsi="Arial"/>
                <w:sz w:val="20"/>
              </w:rPr>
              <w:t>Lease operating expense</w:t>
            </w:r>
          </w:p>
        </w:tc>
        <w:tc>
          <w:tcPr>
            <w:tcW w:w="263" w:type="dxa"/>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312" w:type="dxa"/>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4,310</w:t>
            </w:r>
          </w:p>
        </w:tc>
        <w:tc>
          <w:tcPr>
            <w:tcW w:w="270" w:type="dxa"/>
            <w:tcBorders/>
            <w:vAlign w:val="bottom"/>
          </w:tcPr>
          <w:p>
            <w:pPr>
              <w:pStyle w:val="TOC1"/>
              <w:snapToGrid w:val="false"/>
              <w:rPr>
                <w:rFonts w:ascii="Arial" w:hAnsi="Arial" w:cs="Arial"/>
                <w:sz w:val="20"/>
              </w:rPr>
            </w:pPr>
            <w:r>
              <w:rPr>
                <w:rFonts w:cs="Arial" w:ascii="Arial" w:hAnsi="Arial"/>
                <w:sz w:val="20"/>
              </w:rPr>
            </w:r>
          </w:p>
        </w:tc>
        <w:tc>
          <w:tcPr>
            <w:tcW w:w="1305" w:type="dxa"/>
            <w:tcBorders/>
            <w:vAlign w:val="bottom"/>
          </w:tcPr>
          <w:p>
            <w:pPr>
              <w:pStyle w:val="TOC1"/>
              <w:rPr>
                <w:rFonts w:ascii="Arial" w:hAnsi="Arial" w:cs="Arial"/>
              </w:rPr>
            </w:pPr>
            <w:r>
              <w:rPr>
                <w:rFonts w:cs="Arial" w:ascii="Arial" w:hAnsi="Arial"/>
              </w:rPr>
              <w:tab/>
              <w:t>3,073</w:t>
            </w:r>
          </w:p>
        </w:tc>
        <w:tc>
          <w:tcPr>
            <w:tcW w:w="270" w:type="dxa"/>
            <w:gridSpan w:val="2"/>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173" w:type="dxa"/>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17,192</w:t>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4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11,453</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eastAsia="Arial" w:cs="Arial" w:ascii="Arial" w:hAnsi="Arial"/>
                <w:sz w:val="20"/>
              </w:rPr>
              <w:t xml:space="preserve">   </w:t>
            </w:r>
            <w:r>
              <w:rPr>
                <w:rFonts w:cs="Arial" w:ascii="Arial" w:hAnsi="Arial"/>
                <w:sz w:val="20"/>
              </w:rPr>
              <w:t>Depreciation, depletion and amortization</w:t>
            </w:r>
          </w:p>
        </w:tc>
        <w:tc>
          <w:tcPr>
            <w:tcW w:w="263" w:type="dxa"/>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312" w:type="dxa"/>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15,110</w:t>
            </w:r>
          </w:p>
        </w:tc>
        <w:tc>
          <w:tcPr>
            <w:tcW w:w="270" w:type="dxa"/>
            <w:tcBorders/>
            <w:vAlign w:val="bottom"/>
          </w:tcPr>
          <w:p>
            <w:pPr>
              <w:pStyle w:val="TOC1"/>
              <w:snapToGrid w:val="false"/>
              <w:rPr>
                <w:rFonts w:ascii="Arial" w:hAnsi="Arial" w:cs="Arial"/>
                <w:sz w:val="20"/>
              </w:rPr>
            </w:pPr>
            <w:r>
              <w:rPr>
                <w:rFonts w:cs="Arial" w:ascii="Arial" w:hAnsi="Arial"/>
                <w:sz w:val="20"/>
              </w:rPr>
            </w:r>
          </w:p>
        </w:tc>
        <w:tc>
          <w:tcPr>
            <w:tcW w:w="1305" w:type="dxa"/>
            <w:tcBorders/>
            <w:vAlign w:val="bottom"/>
          </w:tcPr>
          <w:p>
            <w:pPr>
              <w:pStyle w:val="TOC1"/>
              <w:rPr>
                <w:rFonts w:ascii="Arial" w:hAnsi="Arial" w:cs="Arial"/>
              </w:rPr>
            </w:pPr>
            <w:r>
              <w:rPr>
                <w:rFonts w:cs="Arial" w:ascii="Arial" w:hAnsi="Arial"/>
              </w:rPr>
              <w:tab/>
              <w:t>8,754</w:t>
            </w:r>
          </w:p>
        </w:tc>
        <w:tc>
          <w:tcPr>
            <w:tcW w:w="266" w:type="dxa"/>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177" w:type="dxa"/>
            <w:gridSpan w:val="2"/>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56,846</w:t>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4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32,121</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eastAsia="Arial" w:cs="Arial" w:ascii="Arial" w:hAnsi="Arial"/>
                <w:sz w:val="20"/>
              </w:rPr>
              <w:t xml:space="preserve">   </w:t>
            </w:r>
            <w:r>
              <w:rPr>
                <w:rFonts w:cs="Arial" w:ascii="Arial" w:hAnsi="Arial"/>
                <w:sz w:val="20"/>
              </w:rPr>
              <w:t>Transportation expense</w:t>
            </w:r>
          </w:p>
        </w:tc>
        <w:tc>
          <w:tcPr>
            <w:tcW w:w="263" w:type="dxa"/>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312" w:type="dxa"/>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2,509</w:t>
            </w:r>
          </w:p>
        </w:tc>
        <w:tc>
          <w:tcPr>
            <w:tcW w:w="270" w:type="dxa"/>
            <w:tcBorders/>
            <w:vAlign w:val="bottom"/>
          </w:tcPr>
          <w:p>
            <w:pPr>
              <w:pStyle w:val="TOC1"/>
              <w:snapToGrid w:val="false"/>
              <w:rPr>
                <w:rFonts w:ascii="Arial" w:hAnsi="Arial" w:cs="Arial"/>
                <w:sz w:val="20"/>
              </w:rPr>
            </w:pPr>
            <w:r>
              <w:rPr>
                <w:rFonts w:cs="Arial" w:ascii="Arial" w:hAnsi="Arial"/>
                <w:sz w:val="20"/>
              </w:rPr>
            </w:r>
          </w:p>
        </w:tc>
        <w:tc>
          <w:tcPr>
            <w:tcW w:w="1305" w:type="dxa"/>
            <w:tcBorders/>
            <w:vAlign w:val="bottom"/>
          </w:tcPr>
          <w:p>
            <w:pPr>
              <w:pStyle w:val="TOC1"/>
              <w:rPr>
                <w:rFonts w:ascii="Arial" w:hAnsi="Arial" w:cs="Arial"/>
              </w:rPr>
            </w:pPr>
            <w:r>
              <w:rPr>
                <w:rFonts w:cs="Arial" w:ascii="Arial" w:hAnsi="Arial"/>
              </w:rPr>
              <w:tab/>
              <w:t>569</w:t>
            </w:r>
          </w:p>
        </w:tc>
        <w:tc>
          <w:tcPr>
            <w:tcW w:w="266" w:type="dxa"/>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177" w:type="dxa"/>
            <w:gridSpan w:val="2"/>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7,789</w:t>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4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2,017</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eastAsia="Arial" w:cs="Arial" w:ascii="Arial" w:hAnsi="Arial"/>
                <w:sz w:val="20"/>
              </w:rPr>
              <w:t xml:space="preserve">   </w:t>
            </w:r>
            <w:r>
              <w:rPr>
                <w:rFonts w:cs="Arial" w:ascii="Arial" w:hAnsi="Arial"/>
                <w:sz w:val="20"/>
              </w:rPr>
              <w:t>General and administrative expense</w:t>
            </w:r>
          </w:p>
        </w:tc>
        <w:tc>
          <w:tcPr>
            <w:tcW w:w="263" w:type="dxa"/>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312" w:type="dxa"/>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1,938</w:t>
            </w:r>
          </w:p>
        </w:tc>
        <w:tc>
          <w:tcPr>
            <w:tcW w:w="270" w:type="dxa"/>
            <w:tcBorders/>
            <w:vAlign w:val="bottom"/>
          </w:tcPr>
          <w:p>
            <w:pPr>
              <w:pStyle w:val="TOC1"/>
              <w:snapToGrid w:val="false"/>
              <w:rPr>
                <w:rFonts w:ascii="Arial" w:hAnsi="Arial" w:cs="Arial"/>
                <w:sz w:val="20"/>
              </w:rPr>
            </w:pPr>
            <w:r>
              <w:rPr>
                <w:rFonts w:cs="Arial" w:ascii="Arial" w:hAnsi="Arial"/>
                <w:sz w:val="20"/>
              </w:rPr>
            </w:r>
          </w:p>
        </w:tc>
        <w:tc>
          <w:tcPr>
            <w:tcW w:w="1305" w:type="dxa"/>
            <w:tcBorders/>
            <w:vAlign w:val="bottom"/>
          </w:tcPr>
          <w:p>
            <w:pPr>
              <w:pStyle w:val="TOC1"/>
              <w:rPr>
                <w:rFonts w:ascii="Arial" w:hAnsi="Arial" w:cs="Arial"/>
              </w:rPr>
            </w:pPr>
            <w:r>
              <w:rPr>
                <w:rFonts w:cs="Arial" w:ascii="Arial" w:hAnsi="Arial"/>
              </w:rPr>
              <w:tab/>
              <w:t>1,389</w:t>
            </w:r>
          </w:p>
        </w:tc>
        <w:tc>
          <w:tcPr>
            <w:tcW w:w="266" w:type="dxa"/>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177" w:type="dxa"/>
            <w:gridSpan w:val="2"/>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6,549</w:t>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4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5,396</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eastAsia="Arial" w:cs="Arial" w:ascii="Arial" w:hAnsi="Arial"/>
                <w:sz w:val="20"/>
              </w:rPr>
              <w:t xml:space="preserve">          </w:t>
            </w:r>
            <w:r>
              <w:rPr>
                <w:rFonts w:cs="Arial" w:ascii="Arial" w:hAnsi="Arial"/>
                <w:sz w:val="20"/>
              </w:rPr>
              <w:t>Total costs and expenses</w:t>
            </w:r>
          </w:p>
        </w:tc>
        <w:tc>
          <w:tcPr>
            <w:tcW w:w="263" w:type="dxa"/>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312" w:type="dxa"/>
            <w:tcBorders>
              <w:bottom w:val="single" w:sz="6" w:space="0" w:color="000000"/>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23,867</w:t>
            </w:r>
          </w:p>
        </w:tc>
        <w:tc>
          <w:tcPr>
            <w:tcW w:w="270" w:type="dxa"/>
            <w:tcBorders/>
            <w:vAlign w:val="bottom"/>
          </w:tcPr>
          <w:p>
            <w:pPr>
              <w:pStyle w:val="TOC1"/>
              <w:snapToGrid w:val="false"/>
              <w:rPr>
                <w:rFonts w:ascii="Arial" w:hAnsi="Arial" w:cs="Arial"/>
                <w:sz w:val="20"/>
              </w:rPr>
            </w:pPr>
            <w:r>
              <w:rPr>
                <w:rFonts w:cs="Arial" w:ascii="Arial" w:hAnsi="Arial"/>
                <w:sz w:val="20"/>
              </w:rPr>
            </w:r>
          </w:p>
        </w:tc>
        <w:tc>
          <w:tcPr>
            <w:tcW w:w="1305" w:type="dxa"/>
            <w:tcBorders>
              <w:bottom w:val="single" w:sz="6" w:space="0" w:color="000000"/>
            </w:tcBorders>
            <w:vAlign w:val="bottom"/>
          </w:tcPr>
          <w:p>
            <w:pPr>
              <w:pStyle w:val="TOC1"/>
              <w:rPr>
                <w:rFonts w:ascii="Arial" w:hAnsi="Arial" w:cs="Arial"/>
              </w:rPr>
            </w:pPr>
            <w:r>
              <w:rPr>
                <w:rFonts w:cs="Arial" w:ascii="Arial" w:hAnsi="Arial"/>
              </w:rPr>
              <w:tab/>
              <w:t>13,785</w:t>
            </w:r>
          </w:p>
        </w:tc>
        <w:tc>
          <w:tcPr>
            <w:tcW w:w="266" w:type="dxa"/>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177" w:type="dxa"/>
            <w:gridSpan w:val="2"/>
            <w:tcBorders>
              <w:bottom w:val="single" w:sz="6" w:space="0" w:color="000000"/>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88,376</w:t>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clear" w:pos="720"/>
                <w:tab w:val="left" w:pos="-900" w:leader="none"/>
                <w:tab w:val="left" w:pos="-344" w:leader="none"/>
                <w:tab w:val="decimal" w:pos="74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50,987</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OPERATING INCOME</w:t>
            </w:r>
          </w:p>
        </w:tc>
        <w:tc>
          <w:tcPr>
            <w:tcW w:w="263" w:type="dxa"/>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312" w:type="dxa"/>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8,314</w:t>
            </w:r>
          </w:p>
        </w:tc>
        <w:tc>
          <w:tcPr>
            <w:tcW w:w="270" w:type="dxa"/>
            <w:tcBorders/>
            <w:vAlign w:val="bottom"/>
          </w:tcPr>
          <w:p>
            <w:pPr>
              <w:pStyle w:val="TOC1"/>
              <w:snapToGrid w:val="false"/>
              <w:rPr>
                <w:rFonts w:ascii="Arial" w:hAnsi="Arial" w:cs="Arial"/>
                <w:sz w:val="20"/>
              </w:rPr>
            </w:pPr>
            <w:r>
              <w:rPr>
                <w:rFonts w:cs="Arial" w:ascii="Arial" w:hAnsi="Arial"/>
                <w:sz w:val="20"/>
              </w:rPr>
            </w:r>
          </w:p>
        </w:tc>
        <w:tc>
          <w:tcPr>
            <w:tcW w:w="1305" w:type="dxa"/>
            <w:tcBorders/>
            <w:vAlign w:val="bottom"/>
          </w:tcPr>
          <w:p>
            <w:pPr>
              <w:pStyle w:val="TOC1"/>
              <w:rPr>
                <w:rFonts w:ascii="Arial" w:hAnsi="Arial" w:cs="Arial"/>
              </w:rPr>
            </w:pPr>
            <w:r>
              <w:rPr>
                <w:rFonts w:cs="Arial" w:ascii="Arial" w:hAnsi="Arial"/>
              </w:rPr>
              <w:tab/>
              <w:t>172</w:t>
            </w:r>
          </w:p>
        </w:tc>
        <w:tc>
          <w:tcPr>
            <w:tcW w:w="266" w:type="dxa"/>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177" w:type="dxa"/>
            <w:gridSpan w:val="2"/>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32,774</w:t>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4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3,498</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INTEREST:</w:t>
            </w:r>
          </w:p>
        </w:tc>
        <w:tc>
          <w:tcPr>
            <w:tcW w:w="263" w:type="dxa"/>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312" w:type="dxa"/>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270" w:type="dxa"/>
            <w:tcBorders/>
            <w:vAlign w:val="bottom"/>
          </w:tcPr>
          <w:p>
            <w:pPr>
              <w:pStyle w:val="Normal"/>
              <w:tabs>
                <w:tab w:val="clear" w:pos="720"/>
                <w:tab w:val="left" w:pos="-900" w:leader="none"/>
                <w:tab w:val="left" w:pos="-344" w:leader="none"/>
                <w:tab w:val="decimal" w:pos="684" w:leader="none"/>
                <w:tab w:val="decimal" w:pos="774"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305" w:type="dxa"/>
            <w:tcBorders/>
            <w:vAlign w:val="bottom"/>
          </w:tcPr>
          <w:p>
            <w:pPr>
              <w:pStyle w:val="Normal"/>
              <w:tabs>
                <w:tab w:val="clear" w:pos="720"/>
                <w:tab w:val="left" w:pos="-900" w:leader="none"/>
                <w:tab w:val="left" w:pos="-344" w:leader="none"/>
                <w:tab w:val="decimal" w:pos="684" w:leader="none"/>
                <w:tab w:val="decimal" w:pos="774"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266" w:type="dxa"/>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177" w:type="dxa"/>
            <w:gridSpan w:val="2"/>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4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eastAsia="Arial" w:cs="Arial" w:ascii="Arial" w:hAnsi="Arial"/>
                <w:sz w:val="20"/>
              </w:rPr>
              <w:t xml:space="preserve">   </w:t>
            </w:r>
            <w:r>
              <w:rPr>
                <w:rFonts w:cs="Arial" w:ascii="Arial" w:hAnsi="Arial"/>
                <w:sz w:val="20"/>
              </w:rPr>
              <w:t>Income</w:t>
            </w:r>
          </w:p>
        </w:tc>
        <w:tc>
          <w:tcPr>
            <w:tcW w:w="263" w:type="dxa"/>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312" w:type="dxa"/>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 xml:space="preserve"> 26</w:t>
            </w:r>
          </w:p>
        </w:tc>
        <w:tc>
          <w:tcPr>
            <w:tcW w:w="270" w:type="dxa"/>
            <w:tcBorders/>
            <w:vAlign w:val="bottom"/>
          </w:tcPr>
          <w:p>
            <w:pPr>
              <w:pStyle w:val="TOC1"/>
              <w:snapToGrid w:val="false"/>
              <w:rPr>
                <w:rFonts w:ascii="Arial" w:hAnsi="Arial" w:cs="Arial"/>
                <w:sz w:val="20"/>
              </w:rPr>
            </w:pPr>
            <w:r>
              <w:rPr>
                <w:rFonts w:cs="Arial" w:ascii="Arial" w:hAnsi="Arial"/>
                <w:sz w:val="20"/>
              </w:rPr>
            </w:r>
          </w:p>
        </w:tc>
        <w:tc>
          <w:tcPr>
            <w:tcW w:w="1305" w:type="dxa"/>
            <w:tcBorders/>
            <w:vAlign w:val="bottom"/>
          </w:tcPr>
          <w:p>
            <w:pPr>
              <w:pStyle w:val="TOC1"/>
              <w:rPr>
                <w:rFonts w:ascii="Arial" w:hAnsi="Arial" w:cs="Arial"/>
              </w:rPr>
            </w:pPr>
            <w:r>
              <w:rPr>
                <w:rFonts w:cs="Arial" w:ascii="Arial" w:hAnsi="Arial"/>
              </w:rPr>
              <w:tab/>
              <w:t xml:space="preserve">7 </w:t>
            </w:r>
          </w:p>
        </w:tc>
        <w:tc>
          <w:tcPr>
            <w:tcW w:w="266" w:type="dxa"/>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177" w:type="dxa"/>
            <w:gridSpan w:val="2"/>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124</w:t>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4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36</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eastAsia="Arial" w:cs="Arial" w:ascii="Arial" w:hAnsi="Arial"/>
                <w:sz w:val="20"/>
              </w:rPr>
              <w:t xml:space="preserve">   </w:t>
            </w:r>
            <w:r>
              <w:rPr>
                <w:rFonts w:cs="Arial" w:ascii="Arial" w:hAnsi="Arial"/>
                <w:sz w:val="20"/>
              </w:rPr>
              <w:t>Expense</w:t>
            </w:r>
          </w:p>
        </w:tc>
        <w:tc>
          <w:tcPr>
            <w:tcW w:w="263" w:type="dxa"/>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312" w:type="dxa"/>
            <w:tcBorders>
              <w:bottom w:val="single" w:sz="6" w:space="0" w:color="000000"/>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(2,230)</w:t>
            </w:r>
          </w:p>
        </w:tc>
        <w:tc>
          <w:tcPr>
            <w:tcW w:w="270" w:type="dxa"/>
            <w:tcBorders/>
            <w:vAlign w:val="bottom"/>
          </w:tcPr>
          <w:p>
            <w:pPr>
              <w:pStyle w:val="TOC1"/>
              <w:snapToGrid w:val="false"/>
              <w:rPr>
                <w:rFonts w:ascii="Arial" w:hAnsi="Arial" w:cs="Arial"/>
                <w:sz w:val="20"/>
              </w:rPr>
            </w:pPr>
            <w:r>
              <w:rPr>
                <w:rFonts w:cs="Arial" w:ascii="Arial" w:hAnsi="Arial"/>
                <w:sz w:val="20"/>
              </w:rPr>
            </w:r>
          </w:p>
        </w:tc>
        <w:tc>
          <w:tcPr>
            <w:tcW w:w="1305" w:type="dxa"/>
            <w:tcBorders>
              <w:bottom w:val="single" w:sz="6" w:space="0" w:color="000000"/>
            </w:tcBorders>
            <w:vAlign w:val="bottom"/>
          </w:tcPr>
          <w:p>
            <w:pPr>
              <w:pStyle w:val="TOC1"/>
              <w:rPr>
                <w:rFonts w:ascii="Arial" w:hAnsi="Arial" w:cs="Arial"/>
              </w:rPr>
            </w:pPr>
            <w:r>
              <w:rPr>
                <w:rFonts w:cs="Arial" w:ascii="Arial" w:hAnsi="Arial"/>
              </w:rPr>
              <w:tab/>
              <w:t>(3,357)</w:t>
            </w:r>
          </w:p>
        </w:tc>
        <w:tc>
          <w:tcPr>
            <w:tcW w:w="266" w:type="dxa"/>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177" w:type="dxa"/>
            <w:gridSpan w:val="2"/>
            <w:tcBorders>
              <w:bottom w:val="single" w:sz="6" w:space="0" w:color="000000"/>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(11,037)</w:t>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left" w:pos="-900" w:leader="none"/>
                <w:tab w:val="left" w:pos="-344" w:leader="none"/>
                <w:tab w:val="decimal" w:pos="720" w:leader="none"/>
                <w:tab w:val="decimal" w:pos="749"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(13,504)</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INCOME (LOSS) BEFORE TAXES</w:t>
            </w:r>
          </w:p>
        </w:tc>
        <w:tc>
          <w:tcPr>
            <w:tcW w:w="263" w:type="dxa"/>
            <w:tcBorders/>
            <w:vAlign w:val="bottom"/>
          </w:tcPr>
          <w:p>
            <w:pPr>
              <w:pStyle w:val="TOC1"/>
              <w:snapToGrid w:val="false"/>
              <w:rPr>
                <w:rFonts w:ascii="Arial" w:hAnsi="Arial" w:cs="Arial"/>
                <w:sz w:val="20"/>
              </w:rPr>
            </w:pPr>
            <w:r>
              <w:rPr>
                <w:rFonts w:cs="Arial" w:ascii="Arial" w:hAnsi="Arial"/>
                <w:sz w:val="20"/>
              </w:rPr>
            </w:r>
          </w:p>
        </w:tc>
        <w:tc>
          <w:tcPr>
            <w:tcW w:w="1312" w:type="dxa"/>
            <w:tcBorders/>
            <w:vAlign w:val="bottom"/>
          </w:tcPr>
          <w:p>
            <w:pPr>
              <w:pStyle w:val="TOC1"/>
              <w:rPr>
                <w:rFonts w:ascii="Arial" w:hAnsi="Arial" w:cs="Arial"/>
              </w:rPr>
            </w:pPr>
            <w:r>
              <w:rPr>
                <w:rFonts w:cs="Arial" w:ascii="Arial" w:hAnsi="Arial"/>
              </w:rPr>
              <w:tab/>
              <w:t>6,110</w:t>
            </w:r>
          </w:p>
        </w:tc>
        <w:tc>
          <w:tcPr>
            <w:tcW w:w="270" w:type="dxa"/>
            <w:tcBorders/>
            <w:vAlign w:val="bottom"/>
          </w:tcPr>
          <w:p>
            <w:pPr>
              <w:pStyle w:val="TOC1"/>
              <w:snapToGrid w:val="false"/>
              <w:rPr>
                <w:rFonts w:ascii="Arial" w:hAnsi="Arial" w:cs="Arial"/>
              </w:rPr>
            </w:pPr>
            <w:r>
              <w:rPr>
                <w:rFonts w:cs="Arial" w:ascii="Arial" w:hAnsi="Arial"/>
              </w:rPr>
            </w:r>
          </w:p>
        </w:tc>
        <w:tc>
          <w:tcPr>
            <w:tcW w:w="1305" w:type="dxa"/>
            <w:tcBorders/>
            <w:vAlign w:val="bottom"/>
          </w:tcPr>
          <w:p>
            <w:pPr>
              <w:pStyle w:val="TOC1"/>
              <w:rPr>
                <w:rFonts w:ascii="Arial" w:hAnsi="Arial" w:cs="Arial"/>
              </w:rPr>
            </w:pPr>
            <w:r>
              <w:rPr>
                <w:rFonts w:cs="Arial" w:ascii="Arial" w:hAnsi="Arial"/>
              </w:rPr>
              <w:tab/>
              <w:t>(3,178)</w:t>
            </w:r>
          </w:p>
        </w:tc>
        <w:tc>
          <w:tcPr>
            <w:tcW w:w="266" w:type="dxa"/>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177" w:type="dxa"/>
            <w:gridSpan w:val="2"/>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21,861</w:t>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left" w:pos="-900" w:leader="none"/>
                <w:tab w:val="left" w:pos="-344" w:leader="none"/>
                <w:tab w:val="decimal" w:pos="720" w:leader="none"/>
                <w:tab w:val="decimal" w:pos="74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(9,970)</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PROVISION FOR INCOME TAXES</w:t>
            </w:r>
          </w:p>
        </w:tc>
        <w:tc>
          <w:tcPr>
            <w:tcW w:w="263" w:type="dxa"/>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312" w:type="dxa"/>
            <w:tcBorders>
              <w:bottom w:val="single" w:sz="6" w:space="0" w:color="000000"/>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w:t>
            </w:r>
          </w:p>
        </w:tc>
        <w:tc>
          <w:tcPr>
            <w:tcW w:w="270" w:type="dxa"/>
            <w:tcBorders/>
            <w:vAlign w:val="bottom"/>
          </w:tcPr>
          <w:p>
            <w:pPr>
              <w:pStyle w:val="TOC1"/>
              <w:snapToGrid w:val="false"/>
              <w:rPr>
                <w:rFonts w:ascii="Arial" w:hAnsi="Arial" w:cs="Arial"/>
                <w:sz w:val="20"/>
              </w:rPr>
            </w:pPr>
            <w:r>
              <w:rPr>
                <w:rFonts w:cs="Arial" w:ascii="Arial" w:hAnsi="Arial"/>
                <w:sz w:val="20"/>
              </w:rPr>
            </w:r>
          </w:p>
        </w:tc>
        <w:tc>
          <w:tcPr>
            <w:tcW w:w="1305" w:type="dxa"/>
            <w:tcBorders>
              <w:bottom w:val="single" w:sz="6" w:space="0" w:color="000000"/>
            </w:tcBorders>
            <w:vAlign w:val="bottom"/>
          </w:tcPr>
          <w:p>
            <w:pPr>
              <w:pStyle w:val="TOC1"/>
              <w:rPr>
                <w:rFonts w:ascii="Arial" w:hAnsi="Arial" w:cs="Arial"/>
              </w:rPr>
            </w:pPr>
            <w:r>
              <w:rPr>
                <w:rFonts w:cs="Arial" w:ascii="Arial" w:hAnsi="Arial"/>
              </w:rPr>
              <w:tab/>
              <w:t>-</w:t>
            </w:r>
          </w:p>
        </w:tc>
        <w:tc>
          <w:tcPr>
            <w:tcW w:w="266" w:type="dxa"/>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177" w:type="dxa"/>
            <w:gridSpan w:val="2"/>
            <w:tcBorders>
              <w:bottom w:val="single" w:sz="6" w:space="0" w:color="000000"/>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w:t>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clear" w:pos="720"/>
                <w:tab w:val="left" w:pos="-900" w:leader="none"/>
                <w:tab w:val="left" w:pos="-344" w:leader="none"/>
                <w:tab w:val="decimal" w:pos="74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NET INCOME (LOSS)</w:t>
            </w:r>
          </w:p>
        </w:tc>
        <w:tc>
          <w:tcPr>
            <w:tcW w:w="263" w:type="dxa"/>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312" w:type="dxa"/>
            <w:tcBorders/>
            <w:vAlign w:val="bottom"/>
          </w:tcPr>
          <w:p>
            <w:pPr>
              <w:pStyle w:val="Normal"/>
              <w:tabs>
                <w:tab w:val="clear" w:pos="720"/>
                <w:tab w:val="left" w:pos="-900" w:leader="none"/>
                <w:tab w:val="left" w:pos="-344" w:leader="none"/>
                <w:tab w:val="decimal" w:pos="780" w:leader="none"/>
                <w:tab w:val="decimal" w:pos="92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$6,110</w:t>
            </w:r>
          </w:p>
        </w:tc>
        <w:tc>
          <w:tcPr>
            <w:tcW w:w="270" w:type="dxa"/>
            <w:tcBorders/>
            <w:vAlign w:val="bottom"/>
          </w:tcPr>
          <w:p>
            <w:pPr>
              <w:pStyle w:val="TOC1"/>
              <w:snapToGrid w:val="false"/>
              <w:rPr>
                <w:rFonts w:ascii="Arial" w:hAnsi="Arial" w:cs="Arial"/>
                <w:sz w:val="20"/>
              </w:rPr>
            </w:pPr>
            <w:r>
              <w:rPr>
                <w:rFonts w:cs="Arial" w:ascii="Arial" w:hAnsi="Arial"/>
                <w:sz w:val="20"/>
              </w:rPr>
            </w:r>
          </w:p>
        </w:tc>
        <w:tc>
          <w:tcPr>
            <w:tcW w:w="1305" w:type="dxa"/>
            <w:tcBorders/>
            <w:vAlign w:val="bottom"/>
          </w:tcPr>
          <w:p>
            <w:pPr>
              <w:pStyle w:val="TOC1"/>
              <w:rPr>
                <w:rFonts w:ascii="Arial" w:hAnsi="Arial" w:cs="Arial"/>
              </w:rPr>
            </w:pPr>
            <w:r>
              <w:rPr>
                <w:rFonts w:cs="Arial" w:ascii="Arial" w:hAnsi="Arial"/>
              </w:rPr>
              <w:tab/>
              <w:t>$(3,178)</w:t>
            </w:r>
          </w:p>
        </w:tc>
        <w:tc>
          <w:tcPr>
            <w:tcW w:w="266" w:type="dxa"/>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177" w:type="dxa"/>
            <w:gridSpan w:val="2"/>
            <w:tcBorders/>
            <w:vAlign w:val="bottom"/>
          </w:tcPr>
          <w:p>
            <w:pPr>
              <w:pStyle w:val="Normal"/>
              <w:tabs>
                <w:tab w:val="clear" w:pos="720"/>
                <w:tab w:val="left" w:pos="-900" w:leader="none"/>
                <w:tab w:val="left" w:pos="-344" w:leader="none"/>
                <w:tab w:val="decimal" w:pos="743"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$21,861</w:t>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left" w:pos="-900" w:leader="none"/>
                <w:tab w:val="left" w:pos="-344" w:leader="none"/>
                <w:tab w:val="decimal" w:pos="720" w:leader="none"/>
                <w:tab w:val="decimal" w:pos="74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$(9,970)</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263" w:type="dxa"/>
            <w:tcBorders/>
            <w:vAlign w:val="bottom"/>
          </w:tcPr>
          <w:p>
            <w:pPr>
              <w:pStyle w:val="Normal"/>
              <w:tabs>
                <w:tab w:val="clear" w:pos="720"/>
                <w:tab w:val="left" w:pos="-900" w:leader="none"/>
                <w:tab w:val="left" w:pos="-344" w:leader="none"/>
                <w:tab w:val="decimal" w:pos="780"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12" w:type="dxa"/>
            <w:tcBorders>
              <w:top w:val="double" w:sz="6" w:space="0" w:color="000000"/>
            </w:tcBorders>
            <w:vAlign w:val="bottom"/>
          </w:tcPr>
          <w:p>
            <w:pPr>
              <w:pStyle w:val="Normal"/>
              <w:tabs>
                <w:tab w:val="clear" w:pos="720"/>
                <w:tab w:val="left" w:pos="-900" w:leader="none"/>
                <w:tab w:val="left" w:pos="-344" w:leader="none"/>
                <w:tab w:val="decimal" w:pos="780"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27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05" w:type="dxa"/>
            <w:tcBorders>
              <w:top w:val="doub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177" w:type="dxa"/>
            <w:gridSpan w:val="2"/>
            <w:tcBorders>
              <w:top w:val="doub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260" w:type="dxa"/>
            <w:tcBorders>
              <w:top w:val="double" w:sz="6" w:space="0" w:color="000000"/>
            </w:tcBorders>
            <w:vAlign w:val="bottom"/>
          </w:tcPr>
          <w:p>
            <w:pPr>
              <w:pStyle w:val="Normal"/>
              <w:tabs>
                <w:tab w:val="clear" w:pos="720"/>
                <w:tab w:val="left" w:pos="-900" w:leader="none"/>
                <w:tab w:val="left" w:pos="-344" w:leader="none"/>
                <w:tab w:val="left" w:pos="326" w:leader="none"/>
                <w:tab w:val="decimal" w:pos="74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r>
    </w:tbl>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r>
      <w:r>
        <w:br w:type="page"/>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b/>
          <w:sz w:val="20"/>
        </w:rPr>
      </w:pPr>
      <w:r>
        <w:rPr>
          <w:rFonts w:cs="Arial" w:ascii="Arial" w:hAnsi="Arial"/>
          <w:b/>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b/>
          <w:sz w:val="20"/>
        </w:rPr>
      </w:pPr>
      <w:r>
        <w:rPr>
          <w:rFonts w:cs="Arial" w:ascii="Arial" w:hAnsi="Arial"/>
          <w:b/>
          <w:sz w:val="20"/>
        </w:rPr>
        <w:t>MARINER ENERGY, INC.</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b/>
          <w:sz w:val="20"/>
        </w:rPr>
      </w:pPr>
      <w:r>
        <w:rPr>
          <w:rFonts w:cs="Arial" w:ascii="Arial" w:hAnsi="Arial"/>
          <w:b/>
          <w:sz w:val="20"/>
        </w:rPr>
        <w:t>STATEMENTS OF CASH FLOWS</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b/>
          <w:sz w:val="20"/>
        </w:rPr>
      </w:pPr>
      <w:r>
        <w:rPr>
          <w:rFonts w:cs="Arial" w:ascii="Arial" w:hAnsi="Arial"/>
          <w:b/>
          <w:sz w:val="20"/>
        </w:rPr>
        <w:t>(Unaudited, in thousands)</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b/>
          <w:sz w:val="20"/>
        </w:rPr>
      </w:pPr>
      <w:r>
        <w:rPr>
          <w:rFonts w:cs="Arial" w:ascii="Arial" w:hAnsi="Arial"/>
          <w:b/>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b/>
          <w:sz w:val="20"/>
        </w:rPr>
      </w:pPr>
      <w:r>
        <w:rPr>
          <w:rFonts w:cs="Arial" w:ascii="Arial" w:hAnsi="Arial"/>
          <w:b/>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both"/>
        <w:rPr>
          <w:rFonts w:ascii="Arial" w:hAnsi="Arial" w:cs="Arial"/>
          <w:b/>
          <w:sz w:val="20"/>
        </w:rPr>
      </w:pPr>
      <w:r>
        <w:rPr>
          <w:rFonts w:cs="Arial" w:ascii="Arial" w:hAnsi="Arial"/>
          <w:b/>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both"/>
        <w:rPr>
          <w:rFonts w:ascii="Arial" w:hAnsi="Arial" w:cs="Arial"/>
          <w:b/>
          <w:sz w:val="20"/>
        </w:rPr>
      </w:pPr>
      <w:r>
        <w:rPr>
          <w:rFonts w:cs="Arial" w:ascii="Arial" w:hAnsi="Arial"/>
          <w:b/>
          <w:sz w:val="20"/>
        </w:rPr>
      </w:r>
    </w:p>
    <w:tbl>
      <w:tblPr>
        <w:tblW w:w="10065" w:type="dxa"/>
        <w:jc w:val="center"/>
        <w:tblInd w:w="0" w:type="dxa"/>
        <w:tblLayout w:type="fixed"/>
        <w:tblCellMar>
          <w:top w:w="0" w:type="dxa"/>
          <w:start w:w="120" w:type="dxa"/>
          <w:bottom w:w="0" w:type="dxa"/>
          <w:end w:w="120" w:type="dxa"/>
        </w:tblCellMar>
      </w:tblPr>
      <w:tblGrid>
        <w:gridCol w:w="6532"/>
        <w:gridCol w:w="263"/>
        <w:gridCol w:w="1347"/>
        <w:gridCol w:w="450"/>
        <w:gridCol w:w="1473"/>
      </w:tblGrid>
      <w:tr>
        <w:trPr>
          <w:trHeight w:val="495" w:hRule="exact"/>
        </w:trPr>
        <w:tc>
          <w:tcPr>
            <w:tcW w:w="6532"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3270" w:type="dxa"/>
            <w:gridSpan w:val="3"/>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sz w:val="20"/>
              </w:rPr>
            </w:pPr>
            <w:r>
              <w:rPr>
                <w:rFonts w:cs="Arial" w:ascii="Arial" w:hAnsi="Arial"/>
                <w:sz w:val="20"/>
              </w:rPr>
              <w:t>Twelve Months Ended</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sz w:val="20"/>
              </w:rPr>
            </w:pPr>
            <w:r>
              <w:rPr>
                <w:rFonts w:eastAsia="Arial" w:cs="Arial" w:ascii="Arial" w:hAnsi="Arial"/>
                <w:sz w:val="20"/>
              </w:rPr>
              <w:t xml:space="preserve"> </w:t>
            </w:r>
            <w:r>
              <w:rPr>
                <w:rFonts w:cs="Arial" w:ascii="Arial" w:hAnsi="Arial"/>
                <w:sz w:val="20"/>
              </w:rPr>
              <w:t>December 31</w:t>
            </w:r>
          </w:p>
        </w:tc>
      </w:tr>
      <w:tr>
        <w:trPr>
          <w:trHeight w:val="360" w:hRule="exact"/>
        </w:trPr>
        <w:tc>
          <w:tcPr>
            <w:tcW w:w="6532"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47" w:type="dxa"/>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sz w:val="20"/>
              </w:rPr>
            </w:pPr>
            <w:r>
              <w:rPr>
                <w:rFonts w:cs="Arial" w:ascii="Arial" w:hAnsi="Arial"/>
                <w:sz w:val="20"/>
              </w:rPr>
              <w:t>2000</w:t>
            </w:r>
          </w:p>
        </w:tc>
        <w:tc>
          <w:tcPr>
            <w:tcW w:w="45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473" w:type="dxa"/>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sz w:val="20"/>
              </w:rPr>
            </w:pPr>
            <w:r>
              <w:rPr>
                <w:rFonts w:cs="Arial" w:ascii="Arial" w:hAnsi="Arial"/>
                <w:sz w:val="20"/>
              </w:rPr>
              <w:t>1999</w:t>
            </w:r>
          </w:p>
        </w:tc>
      </w:tr>
      <w:tr>
        <w:trPr>
          <w:trHeight w:val="331" w:hRule="exact"/>
        </w:trPr>
        <w:tc>
          <w:tcPr>
            <w:tcW w:w="6532"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OPERATING ACTIVITIES: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47"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45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47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r>
      <w:tr>
        <w:trPr>
          <w:trHeight w:val="331" w:hRule="exact"/>
        </w:trPr>
        <w:tc>
          <w:tcPr>
            <w:tcW w:w="6532"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Net income (loss)</w:t>
            </w:r>
          </w:p>
        </w:tc>
        <w:tc>
          <w:tcPr>
            <w:tcW w:w="263"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47" w:type="dxa"/>
            <w:tcBorders/>
            <w:vAlign w:val="bottom"/>
          </w:tcPr>
          <w:p>
            <w:pPr>
              <w:pStyle w:val="Normal"/>
              <w:tabs>
                <w:tab w:val="clear" w:pos="720"/>
                <w:tab w:val="left" w:pos="-900" w:leader="none"/>
                <w:tab w:val="left" w:pos="-344" w:leader="none"/>
                <w:tab w:val="decimal" w:pos="86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$21,861</w:t>
            </w:r>
          </w:p>
        </w:tc>
        <w:tc>
          <w:tcPr>
            <w:tcW w:w="450"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473"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$(9,970)</w:t>
            </w:r>
          </w:p>
        </w:tc>
      </w:tr>
      <w:tr>
        <w:trPr>
          <w:trHeight w:val="331" w:hRule="exact"/>
        </w:trPr>
        <w:tc>
          <w:tcPr>
            <w:tcW w:w="6532"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 xml:space="preserve">Adjustments to reconcile net loss to         </w:t>
            </w:r>
          </w:p>
        </w:tc>
        <w:tc>
          <w:tcPr>
            <w:tcW w:w="263"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47" w:type="dxa"/>
            <w:tcBorders/>
            <w:vAlign w:val="bottom"/>
          </w:tcPr>
          <w:p>
            <w:pPr>
              <w:pStyle w:val="Normal"/>
              <w:tabs>
                <w:tab w:val="clear" w:pos="720"/>
                <w:tab w:val="left" w:pos="-900" w:leader="none"/>
                <w:tab w:val="left" w:pos="-344" w:leader="none"/>
                <w:tab w:val="decimal" w:pos="86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450"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473"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r>
      <w:tr>
        <w:trPr>
          <w:trHeight w:val="331" w:hRule="exact"/>
        </w:trPr>
        <w:tc>
          <w:tcPr>
            <w:tcW w:w="6532"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 xml:space="preserve">   net cash provided by operating activities:</w:t>
            </w:r>
          </w:p>
        </w:tc>
        <w:tc>
          <w:tcPr>
            <w:tcW w:w="263"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47" w:type="dxa"/>
            <w:tcBorders/>
            <w:vAlign w:val="bottom"/>
          </w:tcPr>
          <w:p>
            <w:pPr>
              <w:pStyle w:val="Normal"/>
              <w:tabs>
                <w:tab w:val="clear" w:pos="720"/>
                <w:tab w:val="left" w:pos="-900" w:leader="none"/>
                <w:tab w:val="left" w:pos="-344" w:leader="none"/>
                <w:tab w:val="decimal" w:pos="86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450"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473"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r>
      <w:tr>
        <w:trPr>
          <w:trHeight w:val="331" w:hRule="exact"/>
        </w:trPr>
        <w:tc>
          <w:tcPr>
            <w:tcW w:w="6532"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ab/>
              <w:t>Depreciation, depletion and amortization</w:t>
            </w:r>
          </w:p>
        </w:tc>
        <w:tc>
          <w:tcPr>
            <w:tcW w:w="263"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47" w:type="dxa"/>
            <w:tcBorders/>
            <w:vAlign w:val="bottom"/>
          </w:tcPr>
          <w:p>
            <w:pPr>
              <w:pStyle w:val="Normal"/>
              <w:tabs>
                <w:tab w:val="clear" w:pos="720"/>
                <w:tab w:val="left" w:pos="-900" w:leader="none"/>
                <w:tab w:val="left" w:pos="-344" w:leader="none"/>
                <w:tab w:val="decimal" w:pos="86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57,535</w:t>
            </w:r>
          </w:p>
        </w:tc>
        <w:tc>
          <w:tcPr>
            <w:tcW w:w="450"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473"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32,838</w:t>
            </w:r>
          </w:p>
        </w:tc>
      </w:tr>
      <w:tr>
        <w:trPr>
          <w:trHeight w:val="331" w:hRule="exact"/>
        </w:trPr>
        <w:tc>
          <w:tcPr>
            <w:tcW w:w="6532"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Changes in operating assets and liabilities:</w:t>
            </w:r>
          </w:p>
        </w:tc>
        <w:tc>
          <w:tcPr>
            <w:tcW w:w="263"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47" w:type="dxa"/>
            <w:tcBorders/>
            <w:vAlign w:val="bottom"/>
          </w:tcPr>
          <w:p>
            <w:pPr>
              <w:pStyle w:val="Normal"/>
              <w:tabs>
                <w:tab w:val="clear" w:pos="720"/>
                <w:tab w:val="left" w:pos="-900" w:leader="none"/>
                <w:tab w:val="left" w:pos="-344" w:leader="none"/>
                <w:tab w:val="decimal" w:pos="86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450"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473"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r>
      <w:tr>
        <w:trPr>
          <w:trHeight w:val="331" w:hRule="exact"/>
        </w:trPr>
        <w:tc>
          <w:tcPr>
            <w:tcW w:w="6532"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ab/>
              <w:t>Receivables</w:t>
            </w:r>
          </w:p>
        </w:tc>
        <w:tc>
          <w:tcPr>
            <w:tcW w:w="263"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47" w:type="dxa"/>
            <w:tcBorders/>
            <w:vAlign w:val="bottom"/>
          </w:tcPr>
          <w:p>
            <w:pPr>
              <w:pStyle w:val="Normal"/>
              <w:tabs>
                <w:tab w:val="clear" w:pos="720"/>
                <w:tab w:val="left" w:pos="-900" w:leader="none"/>
                <w:tab w:val="left" w:pos="-344" w:leader="none"/>
                <w:tab w:val="decimal" w:pos="86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 xml:space="preserve"> (15,280)</w:t>
            </w:r>
          </w:p>
        </w:tc>
        <w:tc>
          <w:tcPr>
            <w:tcW w:w="450"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473"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(8,119)</w:t>
            </w:r>
          </w:p>
        </w:tc>
      </w:tr>
      <w:tr>
        <w:trPr>
          <w:trHeight w:val="331" w:hRule="exact"/>
        </w:trPr>
        <w:tc>
          <w:tcPr>
            <w:tcW w:w="6532"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ab/>
              <w:t xml:space="preserve">Other current assets  </w:t>
            </w:r>
          </w:p>
        </w:tc>
        <w:tc>
          <w:tcPr>
            <w:tcW w:w="263"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47" w:type="dxa"/>
            <w:tcBorders/>
            <w:vAlign w:val="bottom"/>
          </w:tcPr>
          <w:p>
            <w:pPr>
              <w:pStyle w:val="Normal"/>
              <w:tabs>
                <w:tab w:val="clear" w:pos="720"/>
                <w:tab w:val="left" w:pos="-900" w:leader="none"/>
                <w:tab w:val="left" w:pos="-344" w:leader="none"/>
                <w:tab w:val="decimal" w:pos="86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 xml:space="preserve"> (1,100)</w:t>
            </w:r>
          </w:p>
        </w:tc>
        <w:tc>
          <w:tcPr>
            <w:tcW w:w="450"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473"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 xml:space="preserve"> 2,343</w:t>
            </w:r>
          </w:p>
        </w:tc>
      </w:tr>
      <w:tr>
        <w:trPr>
          <w:trHeight w:val="331" w:hRule="exact"/>
        </w:trPr>
        <w:tc>
          <w:tcPr>
            <w:tcW w:w="6532"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ab/>
              <w:t xml:space="preserve">Other assets  </w:t>
            </w:r>
          </w:p>
        </w:tc>
        <w:tc>
          <w:tcPr>
            <w:tcW w:w="263"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47" w:type="dxa"/>
            <w:tcBorders/>
            <w:vAlign w:val="bottom"/>
          </w:tcPr>
          <w:p>
            <w:pPr>
              <w:pStyle w:val="Normal"/>
              <w:tabs>
                <w:tab w:val="clear" w:pos="720"/>
                <w:tab w:val="left" w:pos="-900" w:leader="none"/>
                <w:tab w:val="left" w:pos="-344" w:leader="none"/>
                <w:tab w:val="decimal" w:pos="86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(787)</w:t>
            </w:r>
          </w:p>
        </w:tc>
        <w:tc>
          <w:tcPr>
            <w:tcW w:w="450"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473"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265</w:t>
            </w:r>
          </w:p>
        </w:tc>
      </w:tr>
      <w:tr>
        <w:trPr>
          <w:trHeight w:val="331" w:hRule="exact"/>
        </w:trPr>
        <w:tc>
          <w:tcPr>
            <w:tcW w:w="6532"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ab/>
              <w:t>Accounts payable and accrued liabilities</w:t>
            </w:r>
          </w:p>
        </w:tc>
        <w:tc>
          <w:tcPr>
            <w:tcW w:w="263"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47" w:type="dxa"/>
            <w:tcBorders>
              <w:bottom w:val="single" w:sz="6" w:space="0" w:color="000000"/>
            </w:tcBorders>
            <w:vAlign w:val="bottom"/>
          </w:tcPr>
          <w:p>
            <w:pPr>
              <w:pStyle w:val="Normal"/>
              <w:tabs>
                <w:tab w:val="clear" w:pos="720"/>
                <w:tab w:val="left" w:pos="-900" w:leader="none"/>
                <w:tab w:val="left" w:pos="-344" w:leader="none"/>
                <w:tab w:val="decimal" w:pos="86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1,714</w:t>
            </w:r>
          </w:p>
        </w:tc>
        <w:tc>
          <w:tcPr>
            <w:tcW w:w="450"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473" w:type="dxa"/>
            <w:tcBorders>
              <w:bottom w:val="single" w:sz="6" w:space="0" w:color="000000"/>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7,027</w:t>
            </w:r>
          </w:p>
        </w:tc>
      </w:tr>
      <w:tr>
        <w:trPr>
          <w:trHeight w:val="331" w:hRule="exact"/>
        </w:trPr>
        <w:tc>
          <w:tcPr>
            <w:tcW w:w="6532"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 xml:space="preserve">      Net cash provided by (used for) operating activities</w:t>
            </w:r>
          </w:p>
        </w:tc>
        <w:tc>
          <w:tcPr>
            <w:tcW w:w="263"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47" w:type="dxa"/>
            <w:tcBorders>
              <w:bottom w:val="single" w:sz="6" w:space="0" w:color="000000"/>
            </w:tcBorders>
            <w:vAlign w:val="bottom"/>
          </w:tcPr>
          <w:p>
            <w:pPr>
              <w:pStyle w:val="Normal"/>
              <w:tabs>
                <w:tab w:val="clear" w:pos="720"/>
                <w:tab w:val="left" w:pos="-900" w:leader="none"/>
                <w:tab w:val="left" w:pos="-344" w:leader="none"/>
                <w:tab w:val="decimal" w:pos="86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63,943</w:t>
            </w:r>
          </w:p>
        </w:tc>
        <w:tc>
          <w:tcPr>
            <w:tcW w:w="450"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473" w:type="dxa"/>
            <w:tcBorders>
              <w:bottom w:val="single" w:sz="6" w:space="0" w:color="000000"/>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24,384</w:t>
            </w:r>
          </w:p>
        </w:tc>
      </w:tr>
      <w:tr>
        <w:trPr>
          <w:trHeight w:val="331" w:hRule="exact"/>
        </w:trPr>
        <w:tc>
          <w:tcPr>
            <w:tcW w:w="6532"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INVESTING ACTIVITIES:</w:t>
            </w:r>
          </w:p>
        </w:tc>
        <w:tc>
          <w:tcPr>
            <w:tcW w:w="263"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47" w:type="dxa"/>
            <w:tcBorders/>
            <w:vAlign w:val="bottom"/>
          </w:tcPr>
          <w:p>
            <w:pPr>
              <w:pStyle w:val="Normal"/>
              <w:tabs>
                <w:tab w:val="clear" w:pos="720"/>
                <w:tab w:val="left" w:pos="-900" w:leader="none"/>
                <w:tab w:val="left" w:pos="-344" w:leader="none"/>
                <w:tab w:val="decimal" w:pos="86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450"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473"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r>
      <w:tr>
        <w:trPr>
          <w:trHeight w:val="331" w:hRule="exact"/>
        </w:trPr>
        <w:tc>
          <w:tcPr>
            <w:tcW w:w="6532"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rPr>
              <w:tab/>
            </w:r>
            <w:r>
              <w:rPr>
                <w:rFonts w:cs="Arial" w:ascii="Arial" w:hAnsi="Arial"/>
                <w:sz w:val="20"/>
              </w:rPr>
              <w:t>Additions to oil and gas properties</w:t>
            </w:r>
          </w:p>
        </w:tc>
        <w:tc>
          <w:tcPr>
            <w:tcW w:w="263"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47" w:type="dxa"/>
            <w:tcBorders/>
            <w:vAlign w:val="bottom"/>
          </w:tcPr>
          <w:p>
            <w:pPr>
              <w:pStyle w:val="Normal"/>
              <w:tabs>
                <w:tab w:val="clear" w:pos="720"/>
                <w:tab w:val="left" w:pos="-900" w:leader="none"/>
                <w:tab w:val="left" w:pos="-344" w:leader="none"/>
                <w:tab w:val="decimal" w:pos="86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(107,469)</w:t>
            </w:r>
          </w:p>
        </w:tc>
        <w:tc>
          <w:tcPr>
            <w:tcW w:w="450"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473"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(80,823)</w:t>
            </w:r>
          </w:p>
        </w:tc>
      </w:tr>
      <w:tr>
        <w:trPr>
          <w:trHeight w:val="331" w:hRule="exact"/>
        </w:trPr>
        <w:tc>
          <w:tcPr>
            <w:tcW w:w="6532" w:type="dxa"/>
            <w:tcBorders/>
            <w:vAlign w:val="bottom"/>
          </w:tcPr>
          <w:p>
            <w:pPr>
              <w:pStyle w:val="Normal"/>
              <w:tabs>
                <w:tab w:val="clear" w:pos="720"/>
                <w:tab w:val="left" w:pos="-900" w:leader="none"/>
                <w:tab w:val="left" w:pos="-344" w:leader="none"/>
                <w:tab w:val="left" w:pos="344"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firstLine="90" w:start="-286" w:end="0"/>
              <w:rPr>
                <w:rFonts w:ascii="Arial" w:hAnsi="Arial" w:cs="Arial"/>
                <w:sz w:val="20"/>
              </w:rPr>
            </w:pPr>
            <w:r>
              <w:rPr>
                <w:rFonts w:cs="Arial" w:ascii="Arial" w:hAnsi="Arial"/>
                <w:sz w:val="20"/>
              </w:rPr>
              <w:tab/>
              <w:t>Proceeds from property conveyances</w:t>
            </w:r>
          </w:p>
        </w:tc>
        <w:tc>
          <w:tcPr>
            <w:tcW w:w="263"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347" w:type="dxa"/>
            <w:tcBorders/>
            <w:vAlign w:val="bottom"/>
          </w:tcPr>
          <w:p>
            <w:pPr>
              <w:pStyle w:val="Normal"/>
              <w:tabs>
                <w:tab w:val="clear" w:pos="720"/>
                <w:tab w:val="left" w:pos="-900" w:leader="none"/>
                <w:tab w:val="left" w:pos="-344" w:leader="none"/>
                <w:tab w:val="decimal" w:pos="86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29,002</w:t>
            </w:r>
          </w:p>
        </w:tc>
        <w:tc>
          <w:tcPr>
            <w:tcW w:w="450"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473"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19,758</w:t>
            </w:r>
          </w:p>
        </w:tc>
      </w:tr>
      <w:tr>
        <w:trPr>
          <w:trHeight w:val="331" w:hRule="exact"/>
        </w:trPr>
        <w:tc>
          <w:tcPr>
            <w:tcW w:w="6532" w:type="dxa"/>
            <w:tcBorders/>
            <w:vAlign w:val="bottom"/>
          </w:tcPr>
          <w:p>
            <w:pPr>
              <w:pStyle w:val="Normal"/>
              <w:tabs>
                <w:tab w:val="clear" w:pos="720"/>
                <w:tab w:val="left" w:pos="-900" w:leader="none"/>
                <w:tab w:val="left" w:pos="-344" w:leader="none"/>
                <w:tab w:val="left" w:pos="344"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start="-106" w:end="0"/>
              <w:rPr>
                <w:rFonts w:ascii="Arial" w:hAnsi="Arial" w:cs="Arial"/>
                <w:sz w:val="20"/>
              </w:rPr>
            </w:pPr>
            <w:r>
              <w:rPr>
                <w:rFonts w:cs="Arial" w:ascii="Arial" w:hAnsi="Arial"/>
                <w:sz w:val="20"/>
              </w:rPr>
              <w:tab/>
              <w:t>Additions to other property and equipment</w:t>
            </w:r>
          </w:p>
        </w:tc>
        <w:tc>
          <w:tcPr>
            <w:tcW w:w="263"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347" w:type="dxa"/>
            <w:tcBorders>
              <w:bottom w:val="single" w:sz="4" w:space="0" w:color="000000"/>
            </w:tcBorders>
            <w:vAlign w:val="bottom"/>
          </w:tcPr>
          <w:p>
            <w:pPr>
              <w:pStyle w:val="Normal"/>
              <w:tabs>
                <w:tab w:val="clear" w:pos="720"/>
                <w:tab w:val="left" w:pos="-900" w:leader="none"/>
                <w:tab w:val="left" w:pos="-344" w:leader="none"/>
                <w:tab w:val="decimal" w:pos="86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(610)</w:t>
            </w:r>
          </w:p>
        </w:tc>
        <w:tc>
          <w:tcPr>
            <w:tcW w:w="450"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473" w:type="dxa"/>
            <w:tcBorders>
              <w:bottom w:val="single" w:sz="4" w:space="0" w:color="000000"/>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(682)</w:t>
            </w:r>
          </w:p>
        </w:tc>
      </w:tr>
      <w:tr>
        <w:trPr>
          <w:trHeight w:val="331" w:hRule="exact"/>
        </w:trPr>
        <w:tc>
          <w:tcPr>
            <w:tcW w:w="6532"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 xml:space="preserve">      Net cash used in investing activities</w:t>
            </w:r>
          </w:p>
        </w:tc>
        <w:tc>
          <w:tcPr>
            <w:tcW w:w="263"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47" w:type="dxa"/>
            <w:tcBorders>
              <w:bottom w:val="single" w:sz="6" w:space="0" w:color="000000"/>
            </w:tcBorders>
            <w:vAlign w:val="bottom"/>
          </w:tcPr>
          <w:p>
            <w:pPr>
              <w:pStyle w:val="Normal"/>
              <w:tabs>
                <w:tab w:val="clear" w:pos="720"/>
                <w:tab w:val="left" w:pos="-900" w:leader="none"/>
                <w:tab w:val="left" w:pos="-344" w:leader="none"/>
                <w:tab w:val="decimal" w:pos="86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(79,077)</w:t>
            </w:r>
          </w:p>
        </w:tc>
        <w:tc>
          <w:tcPr>
            <w:tcW w:w="450"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473" w:type="dxa"/>
            <w:tcBorders>
              <w:bottom w:val="single" w:sz="6" w:space="0" w:color="000000"/>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(61,747)</w:t>
            </w:r>
          </w:p>
        </w:tc>
      </w:tr>
      <w:tr>
        <w:trPr>
          <w:trHeight w:val="331" w:hRule="exact"/>
        </w:trPr>
        <w:tc>
          <w:tcPr>
            <w:tcW w:w="6532"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FINANCING ACTIVITIES:</w:t>
            </w:r>
          </w:p>
        </w:tc>
        <w:tc>
          <w:tcPr>
            <w:tcW w:w="263"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47" w:type="dxa"/>
            <w:tcBorders/>
            <w:vAlign w:val="bottom"/>
          </w:tcPr>
          <w:p>
            <w:pPr>
              <w:pStyle w:val="Normal"/>
              <w:tabs>
                <w:tab w:val="clear" w:pos="720"/>
                <w:tab w:val="left" w:pos="-900" w:leader="none"/>
                <w:tab w:val="left" w:pos="-344" w:leader="none"/>
                <w:tab w:val="decimal" w:pos="86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450"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473"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r>
      <w:tr>
        <w:trPr>
          <w:trHeight w:val="331" w:hRule="exact"/>
        </w:trPr>
        <w:tc>
          <w:tcPr>
            <w:tcW w:w="6532"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Proceeds from (repayment of) revolving credit facility</w:t>
            </w:r>
          </w:p>
        </w:tc>
        <w:tc>
          <w:tcPr>
            <w:tcW w:w="263"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47" w:type="dxa"/>
            <w:tcBorders/>
            <w:vAlign w:val="bottom"/>
          </w:tcPr>
          <w:p>
            <w:pPr>
              <w:pStyle w:val="Normal"/>
              <w:tabs>
                <w:tab w:val="clear" w:pos="720"/>
                <w:tab w:val="left" w:pos="-900" w:leader="none"/>
                <w:tab w:val="left" w:pos="-344" w:leader="none"/>
                <w:tab w:val="decimal" w:pos="86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(12,600)</w:t>
            </w:r>
          </w:p>
        </w:tc>
        <w:tc>
          <w:tcPr>
            <w:tcW w:w="450"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473"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(10,800)</w:t>
            </w:r>
          </w:p>
        </w:tc>
      </w:tr>
      <w:tr>
        <w:trPr>
          <w:trHeight w:val="331" w:hRule="exact"/>
        </w:trPr>
        <w:tc>
          <w:tcPr>
            <w:tcW w:w="6532"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Capital contributed by sale of stock to parent</w:t>
            </w:r>
          </w:p>
        </w:tc>
        <w:tc>
          <w:tcPr>
            <w:tcW w:w="263"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47" w:type="dxa"/>
            <w:tcBorders/>
            <w:vAlign w:val="bottom"/>
          </w:tcPr>
          <w:p>
            <w:pPr>
              <w:pStyle w:val="Normal"/>
              <w:tabs>
                <w:tab w:val="clear" w:pos="720"/>
                <w:tab w:val="left" w:pos="-900" w:leader="none"/>
                <w:tab w:val="left" w:pos="-344" w:leader="none"/>
                <w:tab w:val="decimal" w:pos="86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55,000</w:t>
            </w:r>
          </w:p>
        </w:tc>
        <w:tc>
          <w:tcPr>
            <w:tcW w:w="450"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473"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23,284</w:t>
            </w:r>
          </w:p>
        </w:tc>
      </w:tr>
      <w:tr>
        <w:trPr>
          <w:trHeight w:val="331" w:hRule="exact"/>
        </w:trPr>
        <w:tc>
          <w:tcPr>
            <w:tcW w:w="6532"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Proceeds from (payments to) the affiliate credit facility</w:t>
            </w:r>
          </w:p>
        </w:tc>
        <w:tc>
          <w:tcPr>
            <w:tcW w:w="263"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47" w:type="dxa"/>
            <w:tcBorders>
              <w:bottom w:val="single" w:sz="6" w:space="0" w:color="000000"/>
            </w:tcBorders>
            <w:vAlign w:val="bottom"/>
          </w:tcPr>
          <w:p>
            <w:pPr>
              <w:pStyle w:val="Normal"/>
              <w:tabs>
                <w:tab w:val="clear" w:pos="720"/>
                <w:tab w:val="left" w:pos="-900" w:leader="none"/>
                <w:tab w:val="left" w:pos="-344" w:leader="none"/>
                <w:tab w:val="decimal" w:pos="86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(25,000)</w:t>
            </w:r>
          </w:p>
        </w:tc>
        <w:tc>
          <w:tcPr>
            <w:tcW w:w="450"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473" w:type="dxa"/>
            <w:tcBorders>
              <w:bottom w:val="single" w:sz="6" w:space="0" w:color="000000"/>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25,000</w:t>
            </w:r>
          </w:p>
        </w:tc>
      </w:tr>
      <w:tr>
        <w:trPr>
          <w:trHeight w:val="331" w:hRule="exact"/>
        </w:trPr>
        <w:tc>
          <w:tcPr>
            <w:tcW w:w="6532"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 xml:space="preserve">      Net cash provided by financing activities</w:t>
            </w:r>
          </w:p>
        </w:tc>
        <w:tc>
          <w:tcPr>
            <w:tcW w:w="263"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47" w:type="dxa"/>
            <w:tcBorders>
              <w:bottom w:val="single" w:sz="6" w:space="0" w:color="000000"/>
            </w:tcBorders>
            <w:vAlign w:val="bottom"/>
          </w:tcPr>
          <w:p>
            <w:pPr>
              <w:pStyle w:val="Normal"/>
              <w:tabs>
                <w:tab w:val="clear" w:pos="720"/>
                <w:tab w:val="left" w:pos="-900" w:leader="none"/>
                <w:tab w:val="left" w:pos="-344" w:leader="none"/>
                <w:tab w:val="decimal" w:pos="86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17,400</w:t>
            </w:r>
          </w:p>
        </w:tc>
        <w:tc>
          <w:tcPr>
            <w:tcW w:w="450"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473" w:type="dxa"/>
            <w:tcBorders>
              <w:bottom w:val="single" w:sz="6" w:space="0" w:color="000000"/>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37,484</w:t>
            </w:r>
          </w:p>
        </w:tc>
      </w:tr>
      <w:tr>
        <w:trPr>
          <w:trHeight w:val="331" w:hRule="exact"/>
        </w:trPr>
        <w:tc>
          <w:tcPr>
            <w:tcW w:w="6532"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INCREASE (DECREASE) IN CASH AND CASH EQUIVALENTS</w:t>
            </w:r>
          </w:p>
        </w:tc>
        <w:tc>
          <w:tcPr>
            <w:tcW w:w="263"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47" w:type="dxa"/>
            <w:tcBorders/>
            <w:vAlign w:val="bottom"/>
          </w:tcPr>
          <w:p>
            <w:pPr>
              <w:pStyle w:val="Normal"/>
              <w:tabs>
                <w:tab w:val="clear" w:pos="720"/>
                <w:tab w:val="left" w:pos="-900" w:leader="none"/>
                <w:tab w:val="left" w:pos="-344" w:leader="none"/>
                <w:tab w:val="decimal" w:pos="86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2,266</w:t>
            </w:r>
          </w:p>
        </w:tc>
        <w:tc>
          <w:tcPr>
            <w:tcW w:w="450"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473"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 xml:space="preserve"> 121</w:t>
            </w:r>
          </w:p>
        </w:tc>
      </w:tr>
      <w:tr>
        <w:trPr>
          <w:trHeight w:val="331" w:hRule="exact"/>
        </w:trPr>
        <w:tc>
          <w:tcPr>
            <w:tcW w:w="6532"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CASH AND CASH EQUIVALENTS AT BEGINNING OF PERIOD</w:t>
            </w:r>
          </w:p>
        </w:tc>
        <w:tc>
          <w:tcPr>
            <w:tcW w:w="263"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47" w:type="dxa"/>
            <w:tcBorders>
              <w:bottom w:val="single" w:sz="6" w:space="0" w:color="000000"/>
            </w:tcBorders>
            <w:vAlign w:val="bottom"/>
          </w:tcPr>
          <w:p>
            <w:pPr>
              <w:pStyle w:val="Normal"/>
              <w:tabs>
                <w:tab w:val="clear" w:pos="720"/>
                <w:tab w:val="left" w:pos="-900" w:leader="none"/>
                <w:tab w:val="left" w:pos="-344" w:leader="none"/>
                <w:tab w:val="decimal" w:pos="86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123</w:t>
            </w:r>
          </w:p>
        </w:tc>
        <w:tc>
          <w:tcPr>
            <w:tcW w:w="450"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473" w:type="dxa"/>
            <w:tcBorders>
              <w:bottom w:val="single" w:sz="6" w:space="0" w:color="000000"/>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2</w:t>
            </w:r>
          </w:p>
        </w:tc>
      </w:tr>
      <w:tr>
        <w:trPr>
          <w:trHeight w:val="331" w:hRule="exact"/>
        </w:trPr>
        <w:tc>
          <w:tcPr>
            <w:tcW w:w="6532"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CASH AND CASH  EQUIVALENTS AT END OF PERIOD</w:t>
            </w:r>
          </w:p>
        </w:tc>
        <w:tc>
          <w:tcPr>
            <w:tcW w:w="263"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47" w:type="dxa"/>
            <w:tcBorders/>
            <w:vAlign w:val="bottom"/>
          </w:tcPr>
          <w:p>
            <w:pPr>
              <w:pStyle w:val="Normal"/>
              <w:tabs>
                <w:tab w:val="clear" w:pos="720"/>
                <w:tab w:val="left" w:pos="-900" w:leader="none"/>
                <w:tab w:val="left" w:pos="-344" w:leader="none"/>
                <w:tab w:val="decimal" w:pos="86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   2,389</w:t>
            </w:r>
          </w:p>
        </w:tc>
        <w:tc>
          <w:tcPr>
            <w:tcW w:w="450"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1473" w:type="dxa"/>
            <w:tcBorders/>
            <w:vAlign w:val="bottom"/>
          </w:tcPr>
          <w:p>
            <w:pPr>
              <w:pStyle w:val="Normal"/>
              <w:tabs>
                <w:tab w:val="clear" w:pos="720"/>
                <w:tab w:val="left" w:pos="-900" w:leader="none"/>
                <w:tab w:val="left" w:pos="-344" w:leader="none"/>
                <w:tab w:val="decimal" w:pos="87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0"/>
              </w:rPr>
            </w:pPr>
            <w:r>
              <w:rPr>
                <w:rFonts w:cs="Arial" w:ascii="Arial" w:hAnsi="Arial"/>
                <w:sz w:val="20"/>
              </w:rPr>
              <w:tab/>
              <w:t>$    123</w:t>
            </w:r>
          </w:p>
        </w:tc>
      </w:tr>
      <w:tr>
        <w:trPr>
          <w:trHeight w:val="331" w:hRule="exact"/>
        </w:trPr>
        <w:tc>
          <w:tcPr>
            <w:tcW w:w="6532"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347" w:type="dxa"/>
            <w:tcBorders>
              <w:top w:val="double" w:sz="6" w:space="0" w:color="000000"/>
            </w:tcBorders>
          </w:tcPr>
          <w:p>
            <w:pPr>
              <w:pStyle w:val="Normal"/>
              <w:tabs>
                <w:tab w:val="clear" w:pos="720"/>
                <w:tab w:val="left" w:pos="-900" w:leader="none"/>
                <w:tab w:val="left" w:pos="-344" w:leader="none"/>
                <w:tab w:val="left" w:pos="326" w:leader="none"/>
                <w:tab w:val="decimal" w:pos="86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c>
          <w:tcPr>
            <w:tcW w:w="45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jc w:val="end"/>
              <w:rPr>
                <w:rFonts w:ascii="Arial" w:hAnsi="Arial" w:cs="Arial"/>
                <w:sz w:val="20"/>
              </w:rPr>
            </w:pPr>
            <w:r>
              <w:rPr>
                <w:rFonts w:cs="Arial" w:ascii="Arial" w:hAnsi="Arial"/>
                <w:sz w:val="20"/>
              </w:rPr>
            </w:r>
          </w:p>
        </w:tc>
        <w:tc>
          <w:tcPr>
            <w:tcW w:w="1473" w:type="dxa"/>
            <w:tcBorders>
              <w:top w:val="double" w:sz="6" w:space="0" w:color="000000"/>
            </w:tcBorders>
          </w:tcPr>
          <w:p>
            <w:pPr>
              <w:pStyle w:val="Normal"/>
              <w:tabs>
                <w:tab w:val="clear" w:pos="720"/>
                <w:tab w:val="left" w:pos="-900" w:leader="none"/>
                <w:tab w:val="left" w:pos="-344" w:leader="none"/>
                <w:tab w:val="left" w:pos="326" w:leader="none"/>
                <w:tab w:val="decimal" w:pos="870"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0"/>
              </w:rPr>
            </w:pPr>
            <w:r>
              <w:rPr>
                <w:rFonts w:cs="Arial" w:ascii="Arial" w:hAnsi="Arial"/>
                <w:sz w:val="20"/>
              </w:rPr>
            </w:r>
          </w:p>
        </w:tc>
      </w:tr>
    </w:tbl>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hanging="770" w:start="1576" w:end="0"/>
        <w:rPr>
          <w:rFonts w:ascii="Arial" w:hAnsi="Arial" w:cs="Arial"/>
          <w:sz w:val="20"/>
        </w:rPr>
      </w:pPr>
      <w:r>
        <w:rPr>
          <w:rFonts w:cs="Arial" w:ascii="Arial" w:hAnsi="Arial"/>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b/>
          <w:sz w:val="20"/>
        </w:rPr>
      </w:pPr>
      <w:r>
        <w:rPr>
          <w:rFonts w:cs="Arial" w:ascii="Arial" w:hAnsi="Arial"/>
          <w:b/>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b/>
          <w:sz w:val="20"/>
        </w:rPr>
      </w:pPr>
      <w:r>
        <w:rPr>
          <w:rFonts w:cs="Arial" w:ascii="Arial" w:hAnsi="Arial"/>
          <w:b/>
          <w:sz w:val="20"/>
        </w:rPr>
      </w:r>
    </w:p>
    <w:p>
      <w:pPr>
        <w:pStyle w:val="Heading4"/>
        <w:ind w:start="0" w:end="0"/>
        <w:jc w:val="end"/>
        <w:rPr>
          <w:rFonts w:eastAsia="CG Times"/>
        </w:rPr>
      </w:pPr>
      <w:r>
        <w:rPr>
          <w:rFonts w:eastAsia="CG Times"/>
        </w:rPr>
        <w:t xml:space="preserve"> </w:t>
      </w:r>
    </w:p>
    <w:p>
      <w:pPr>
        <w:pStyle w:val="Normal"/>
        <w:tabs>
          <w:tab w:val="left" w:pos="1" w:leader="none"/>
          <w:tab w:val="left" w:pos="720" w:leader="none"/>
          <w:tab w:val="left" w:pos="1210" w:leader="none"/>
          <w:tab w:val="left" w:pos="1750" w:leader="none"/>
          <w:tab w:val="left" w:pos="229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ind w:firstLine="720" w:end="0"/>
        <w:rPr>
          <w:rFonts w:ascii="Arial" w:hAnsi="Arial" w:cs="Arial"/>
        </w:rPr>
      </w:pPr>
      <w:r>
        <w:rPr>
          <w:rFonts w:cs="Arial" w:ascii="Arial" w:hAnsi="Arial"/>
        </w:rPr>
      </w:r>
    </w:p>
    <w:p>
      <w:pPr>
        <w:pStyle w:val="Normal"/>
        <w:rPr>
          <w:rFonts w:ascii="Arial" w:hAnsi="Arial" w:cs="Arial"/>
          <w:b/>
        </w:rPr>
      </w:pPr>
      <w:r>
        <w:rPr>
          <w:rFonts w:cs="Arial" w:ascii="Arial" w:hAnsi="Arial"/>
          <w:b/>
        </w:rPr>
      </w:r>
    </w:p>
    <w:p>
      <w:pPr>
        <w:pStyle w:val="Normal"/>
        <w:rPr>
          <w:b/>
        </w:rPr>
      </w:pPr>
      <w:r>
        <w:rPr>
          <w:b/>
        </w:rPr>
      </w:r>
    </w:p>
    <w:sectPr>
      <w:footerReference w:type="default" r:id="rId5"/>
      <w:type w:val="nextPage"/>
      <w:pgSz w:w="12240" w:h="15840"/>
      <w:pgMar w:left="1166" w:right="1152" w:gutter="0" w:header="0" w:top="1008"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7</w:t>
    </w:r>
    <w:r>
      <w:rPr>
        <w:rStyle w:val="PageNumber"/>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8"/>
    </w:rPr>
  </w:style>
  <w:style w:type="paragraph" w:styleId="Heading2">
    <w:name w:val="heading 2"/>
    <w:basedOn w:val="Normal"/>
    <w:next w:val="Normal"/>
    <w:qFormat/>
    <w:pPr>
      <w:keepNext w:val="true"/>
      <w:numPr>
        <w:ilvl w:val="1"/>
        <w:numId w:val="1"/>
      </w:numPr>
      <w:spacing w:lineRule="auto" w:line="480"/>
      <w:ind w:firstLine="720" w:start="0" w:end="0"/>
      <w:jc w:val="center"/>
      <w:outlineLvl w:val="1"/>
    </w:pPr>
    <w:rPr>
      <w:b/>
    </w:rPr>
  </w:style>
  <w:style w:type="paragraph" w:styleId="Heading3">
    <w:name w:val="heading 3"/>
    <w:basedOn w:val="Normal"/>
    <w:next w:val="Normal"/>
    <w:qFormat/>
    <w:pPr>
      <w:keepNext w:val="true"/>
      <w:numPr>
        <w:ilvl w:val="2"/>
        <w:numId w:val="1"/>
      </w:numPr>
      <w:outlineLvl w:val="2"/>
    </w:pPr>
    <w:rPr>
      <w:rFonts w:ascii="Arial" w:hAnsi="Arial" w:cs="Arial"/>
      <w:b/>
      <w:i/>
      <w:sz w:val="20"/>
    </w:rPr>
  </w:style>
  <w:style w:type="paragraph" w:styleId="Heading4">
    <w:name w:val="heading 4"/>
    <w:basedOn w:val="Normal"/>
    <w:next w:val="Normal"/>
    <w:qFormat/>
    <w:pPr>
      <w:keepNext w:val="true"/>
      <w:numPr>
        <w:ilvl w:val="3"/>
        <w:numId w:val="1"/>
      </w:numPr>
      <w:ind w:hanging="0" w:start="1350" w:end="0"/>
      <w:outlineLvl w:val="3"/>
    </w:pPr>
    <w:rPr>
      <w:rFonts w:ascii="CG Times" w:hAnsi="CG Times" w:cs="CG Times"/>
      <w:b/>
      <w:sz w:val="22"/>
    </w:rPr>
  </w:style>
  <w:style w:type="paragraph" w:styleId="Heading5">
    <w:name w:val="heading 5"/>
    <w:basedOn w:val="Normal"/>
    <w:next w:val="Normal"/>
    <w:qFormat/>
    <w:pPr>
      <w:keepNext w:val="true"/>
      <w:numPr>
        <w:ilvl w:val="4"/>
        <w:numId w:val="1"/>
      </w:numPr>
      <w:ind w:hanging="0" w:start="1170" w:end="0"/>
      <w:jc w:val="end"/>
      <w:outlineLvl w:val="4"/>
    </w:pPr>
    <w:rPr>
      <w:rFonts w:ascii="Arial" w:hAnsi="Arial" w:cs="Arial"/>
      <w:b/>
      <w:sz w:val="32"/>
    </w:rPr>
  </w:style>
  <w:style w:type="paragraph" w:styleId="Heading6">
    <w:name w:val="heading 6"/>
    <w:basedOn w:val="Normal"/>
    <w:next w:val="Normal"/>
    <w:qFormat/>
    <w:pPr>
      <w:keepNext w:val="true"/>
      <w:numPr>
        <w:ilvl w:val="5"/>
        <w:numId w:val="1"/>
      </w:numPr>
      <w:jc w:val="end"/>
      <w:outlineLvl w:val="5"/>
    </w:pPr>
    <w:rPr>
      <w:rFonts w:ascii="Arial" w:hAnsi="Arial" w:cs="Arial"/>
      <w:b/>
      <w:i/>
      <w:sz w:val="36"/>
      <w:u w:val="single"/>
    </w:rPr>
  </w:style>
  <w:style w:type="paragraph" w:styleId="Heading7">
    <w:name w:val="heading 7"/>
    <w:basedOn w:val="Normal"/>
    <w:next w:val="Normal"/>
    <w:qFormat/>
    <w:pPr>
      <w:keepNext w:val="true"/>
      <w:numPr>
        <w:ilvl w:val="6"/>
        <w:numId w:val="1"/>
      </w:numPr>
      <w:ind w:hanging="720" w:start="1440" w:end="0"/>
      <w:outlineLvl w:val="6"/>
    </w:pPr>
    <w:rPr>
      <w:rFonts w:ascii="Arial" w:hAnsi="Arial" w:cs="Arial"/>
      <w:b/>
      <w:sz w:val="22"/>
    </w:rPr>
  </w:style>
  <w:style w:type="paragraph" w:styleId="Heading8">
    <w:name w:val="heading 8"/>
    <w:basedOn w:val="Normal"/>
    <w:next w:val="Normal"/>
    <w:qFormat/>
    <w:pPr>
      <w:keepNext w:val="true"/>
      <w:numPr>
        <w:ilvl w:val="7"/>
        <w:numId w:val="1"/>
      </w:numPr>
      <w:jc w:val="center"/>
      <w:outlineLvl w:val="7"/>
    </w:pPr>
    <w:rPr>
      <w:b/>
    </w:rPr>
  </w:style>
  <w:style w:type="paragraph" w:styleId="Heading9">
    <w:name w:val="heading 9"/>
    <w:basedOn w:val="Normal"/>
    <w:next w:val="Normal"/>
    <w:qFormat/>
    <w:pPr>
      <w:keepNext w:val="true"/>
      <w:numPr>
        <w:ilvl w:val="8"/>
        <w:numId w:val="1"/>
      </w:numPr>
      <w:jc w:val="center"/>
      <w:outlineLvl w:val="8"/>
    </w:pPr>
    <w:rPr>
      <w:rFonts w:ascii="Arial" w:hAnsi="Arial" w:cs="Arial"/>
      <w:b/>
      <w:sz w:val="20"/>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z w:val="18"/>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sz w:val="36"/>
    </w:rPr>
  </w:style>
  <w:style w:type="paragraph" w:styleId="BodyText">
    <w:name w:val="Body Text"/>
    <w:basedOn w:val="Normal"/>
    <w:pPr>
      <w:tabs>
        <w:tab w:val="clear" w:pos="720"/>
        <w:tab w:val="left" w:pos="-900" w:leader="none"/>
        <w:tab w:val="left" w:pos="-344" w:leader="none"/>
        <w:tab w:val="left" w:pos="326" w:leader="none"/>
        <w:tab w:val="left" w:pos="1096" w:leader="none"/>
        <w:tab w:val="left" w:pos="1586" w:leader="none"/>
        <w:tab w:val="left" w:pos="2306" w:leader="none"/>
        <w:tab w:val="right" w:pos="5040" w:leader="none"/>
        <w:tab w:val="left" w:pos="6250" w:leader="none"/>
        <w:tab w:val="left" w:pos="7240" w:leader="none"/>
        <w:tab w:val="decimal" w:pos="7776" w:leader="none"/>
        <w:tab w:val="decimal" w:pos="9101" w:leader="none"/>
        <w:tab w:val="right" w:pos="9360" w:leader="none"/>
      </w:tabs>
    </w:pPr>
    <w:rPr>
      <w:rFonts w:ascii="CG Times" w:hAnsi="CG Times" w:cs="CG Time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BodyText2">
    <w:name w:val="Body Text 2"/>
    <w:basedOn w:val="Normal"/>
    <w:qFormat/>
    <w:pPr/>
    <w:rPr>
      <w:rFonts w:ascii="Arial" w:hAnsi="Arial" w:cs="Arial"/>
      <w:sz w:val="22"/>
    </w:rPr>
  </w:style>
  <w:style w:type="paragraph" w:styleId="BodyText3">
    <w:name w:val="Body Text 3"/>
    <w:basedOn w:val="Normal"/>
    <w:qFormat/>
    <w:pPr>
      <w:spacing w:before="0" w:after="120"/>
    </w:pPr>
    <w:rPr>
      <w:rFonts w:ascii="Arial" w:hAnsi="Arial" w:cs="Arial"/>
      <w:sz w:val="18"/>
    </w:rPr>
  </w:style>
  <w:style w:type="paragraph" w:styleId="BodyTextIndent2">
    <w:name w:val="Body Text Indent 2"/>
    <w:basedOn w:val="Normal"/>
    <w:qFormat/>
    <w:pPr>
      <w:ind w:firstLine="720" w:start="0" w:end="0"/>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rPr>
  </w:style>
  <w:style w:type="paragraph" w:styleId="TOC1">
    <w:name w:val="toc 1"/>
    <w:basedOn w:val="Normal"/>
    <w:next w:val="Normal"/>
    <w:pPr>
      <w:tabs>
        <w:tab w:val="clear" w:pos="720"/>
        <w:tab w:val="left" w:pos="-900" w:leader="none"/>
        <w:tab w:val="left" w:pos="-344" w:leader="none"/>
        <w:tab w:val="decimal" w:pos="77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pPr>
    <w:rPr>
      <w:rFonts w:ascii="CG Times" w:hAnsi="CG Times" w:cs="CG Times"/>
      <w:sz w:val="20"/>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spacing w:before="120" w:after="0"/>
      <w:jc w:val="center"/>
    </w:pPr>
    <w:rPr>
      <w:b/>
      <w:sz w:val="32"/>
    </w:rPr>
  </w:style>
  <w:style w:type="paragraph" w:styleId="BodyTextIndent3">
    <w:name w:val="Body Text Indent 3"/>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2001-03-09T11:16:00Z</dcterms:created>
  <dc:creator>Barry L. Morris</dc:creator>
  <dc:description/>
  <dc:language>en-CA</dc:language>
  <cp:lastModifiedBy>Kimm Cashiola</cp:lastModifiedBy>
  <cp:lastPrinted>2001-03-08T08:44:00Z</cp:lastPrinted>
  <dcterms:modified xsi:type="dcterms:W3CDTF">2001-03-09T14:41:00Z</dcterms:modified>
  <cp:revision>3</cp:revision>
  <dc:subject/>
  <dc:title>MC2 DRAFT of 10/25/99</dc:title>
</cp:coreProperties>
</file>