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
    </w:p>
    <w:p>
      <w:pPr>
        <w:pStyle w:val="Normal"/>
        <w:ind w:start="7920" w:end="0"/>
        <w:jc w:val="both"/>
        <w:rPr/>
      </w:pPr>
      <w:r>
        <w:rPr/>
        <w:drawing>
          <wp:inline distT="0" distB="0" distL="0" distR="0">
            <wp:extent cx="772795" cy="7670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2795" cy="767080"/>
                    </a:xfrm>
                    <a:prstGeom prst="rect">
                      <a:avLst/>
                    </a:prstGeom>
                    <a:noFill/>
                  </pic:spPr>
                </pic:pic>
              </a:graphicData>
            </a:graphic>
          </wp:inline>
        </w:drawing>
      </w:r>
    </w:p>
    <w:p>
      <w:pPr>
        <w:pStyle w:val="Heading2"/>
        <w:ind w:hanging="0" w:start="0"/>
        <w:rPr>
          <w:sz w:val="28"/>
        </w:rPr>
      </w:pPr>
      <w:r>
        <w:rPr>
          <w:sz w:val="40"/>
        </w:rPr>
        <w:t>Enron Metals</w:t>
      </w:r>
    </w:p>
    <w:p>
      <w:pPr>
        <w:pStyle w:val="Heading2"/>
        <w:ind w:hanging="0" w:start="0"/>
        <w:rPr>
          <w:sz w:val="28"/>
        </w:rPr>
      </w:pPr>
      <w:r>
        <w:rPr>
          <w:sz w:val="28"/>
        </w:rPr>
        <w:t>Proposed Business Process for Rho &amp; FX Management</w:t>
      </w:r>
    </w:p>
    <w:p>
      <w:pPr>
        <w:pStyle w:val="Normal"/>
        <w:rPr>
          <w:sz w:val="28"/>
        </w:rPr>
      </w:pPr>
      <w:r>
        <w:rPr>
          <w:sz w:val="28"/>
        </w:rPr>
      </w:r>
    </w:p>
    <w:p>
      <w:pPr>
        <w:pStyle w:val="BodyText"/>
        <w:rPr/>
      </w:pPr>
      <w:r>
        <w:rPr/>
        <w:t>As defined in Appendix 1, Enron Corp requires that all FX and Rho exposures arising in trading books should be hedged with the central FX and Interest rate hedging desks.</w:t>
      </w:r>
    </w:p>
    <w:p>
      <w:pPr>
        <w:pStyle w:val="Normal"/>
        <w:jc w:val="both"/>
        <w:rPr/>
      </w:pPr>
      <w:r>
        <w:rPr/>
      </w:r>
    </w:p>
    <w:p>
      <w:pPr>
        <w:pStyle w:val="Normal"/>
        <w:jc w:val="both"/>
        <w:rPr/>
      </w:pPr>
      <w:r>
        <w:rPr/>
        <w:t>This memo compares the reasons for centralised non-commodity risk management with the risk management technique used by Enron Metals and consequential argument for requesting exception to the Enron Corp policy (grantable by the Office of the Chair).</w:t>
      </w:r>
    </w:p>
    <w:p>
      <w:pPr>
        <w:pStyle w:val="Normal"/>
        <w:rPr/>
      </w:pPr>
      <w:r>
        <w:rPr/>
      </w:r>
    </w:p>
    <w:p>
      <w:pPr>
        <w:pStyle w:val="Heading2"/>
        <w:ind w:hanging="0" w:start="0"/>
        <w:rPr>
          <w:sz w:val="28"/>
          <w:u w:val="single"/>
        </w:rPr>
      </w:pPr>
      <w:r>
        <w:rPr>
          <w:sz w:val="28"/>
          <w:u w:val="single"/>
        </w:rPr>
        <w:t>FX Management</w:t>
      </w:r>
    </w:p>
    <w:p>
      <w:pPr>
        <w:pStyle w:val="Normal"/>
        <w:rPr>
          <w:sz w:val="28"/>
          <w:u w:val="single"/>
        </w:rPr>
      </w:pPr>
      <w:r>
        <w:rPr>
          <w:sz w:val="28"/>
          <w:u w:val="single"/>
        </w:rPr>
      </w:r>
    </w:p>
    <w:p>
      <w:pPr>
        <w:pStyle w:val="Heading2"/>
        <w:ind w:hanging="0" w:start="0"/>
        <w:rPr/>
      </w:pPr>
      <w:r>
        <w:rPr/>
        <w:t>Rationale for centralised FX Hedging</w:t>
      </w:r>
    </w:p>
    <w:p>
      <w:pPr>
        <w:pStyle w:val="Normal"/>
        <w:rPr/>
      </w:pPr>
      <w:r>
        <w:rPr/>
      </w:r>
    </w:p>
    <w:p>
      <w:pPr>
        <w:pStyle w:val="Normal"/>
        <w:jc w:val="both"/>
        <w:rPr/>
      </w:pPr>
      <w:r>
        <w:rPr/>
        <w:t>There are several operational and financial reasons for maintaining centralised activities for FX exposures. These can be summarised as:</w:t>
      </w:r>
    </w:p>
    <w:p>
      <w:pPr>
        <w:pStyle w:val="Normal"/>
        <w:jc w:val="both"/>
        <w:rPr/>
      </w:pPr>
      <w:r>
        <w:rPr/>
      </w:r>
    </w:p>
    <w:p>
      <w:pPr>
        <w:pStyle w:val="Normal"/>
        <w:numPr>
          <w:ilvl w:val="0"/>
          <w:numId w:val="10"/>
        </w:numPr>
        <w:jc w:val="both"/>
        <w:rPr/>
      </w:pPr>
      <w:r>
        <w:rPr/>
        <w:t>Centralise expertise of FX market and consequent transfer to all business units.</w:t>
      </w:r>
    </w:p>
    <w:p>
      <w:pPr>
        <w:pStyle w:val="Normal"/>
        <w:numPr>
          <w:ilvl w:val="0"/>
          <w:numId w:val="10"/>
        </w:numPr>
        <w:jc w:val="both"/>
        <w:rPr/>
      </w:pPr>
      <w:r>
        <w:rPr/>
        <w:t>Group consolidation of FX positions and hence control by limits.</w:t>
      </w:r>
    </w:p>
    <w:p>
      <w:pPr>
        <w:pStyle w:val="Normal"/>
        <w:numPr>
          <w:ilvl w:val="0"/>
          <w:numId w:val="10"/>
        </w:numPr>
        <w:jc w:val="both"/>
        <w:rPr/>
      </w:pPr>
      <w:r>
        <w:rPr/>
        <w:t>Minimisation of bid-offer spread hits for external hedging.</w:t>
      </w:r>
    </w:p>
    <w:p>
      <w:pPr>
        <w:pStyle w:val="Normal"/>
        <w:numPr>
          <w:ilvl w:val="0"/>
          <w:numId w:val="10"/>
        </w:numPr>
        <w:jc w:val="both"/>
        <w:rPr/>
      </w:pPr>
      <w:r>
        <w:rPr/>
        <w:t>Minimise back office activities relating to FX products.</w:t>
      </w:r>
    </w:p>
    <w:p>
      <w:pPr>
        <w:pStyle w:val="Normal"/>
        <w:jc w:val="both"/>
        <w:rPr/>
      </w:pPr>
      <w:r>
        <w:rPr/>
      </w:r>
    </w:p>
    <w:p>
      <w:pPr>
        <w:pStyle w:val="Normal"/>
        <w:jc w:val="both"/>
        <w:rPr/>
      </w:pPr>
      <w:r>
        <w:rPr/>
        <w:t>Where the following commentary refers to an activity that addresses the above it is referenced by the item number.</w:t>
      </w:r>
    </w:p>
    <w:p>
      <w:pPr>
        <w:pStyle w:val="Normal"/>
        <w:rPr/>
      </w:pPr>
      <w:r>
        <w:rPr/>
      </w:r>
    </w:p>
    <w:p>
      <w:pPr>
        <w:pStyle w:val="Heading3"/>
        <w:ind w:hanging="0" w:start="0"/>
        <w:rPr>
          <w:sz w:val="24"/>
        </w:rPr>
      </w:pPr>
      <w:r>
        <w:rPr>
          <w:sz w:val="24"/>
        </w:rPr>
        <w:t xml:space="preserve">Enron metals FX </w:t>
      </w:r>
    </w:p>
    <w:p>
      <w:pPr>
        <w:pStyle w:val="Normal"/>
        <w:rPr>
          <w:sz w:val="24"/>
        </w:rPr>
      </w:pPr>
      <w:r>
        <w:rPr>
          <w:sz w:val="24"/>
        </w:rPr>
      </w:r>
    </w:p>
    <w:p>
      <w:pPr>
        <w:pStyle w:val="Heading1"/>
        <w:ind w:hanging="0" w:start="0"/>
        <w:rPr/>
      </w:pPr>
      <w:r>
        <w:rPr/>
        <w:t>Operational Risk Mitigation</w:t>
      </w:r>
    </w:p>
    <w:p>
      <w:pPr>
        <w:pStyle w:val="Normal"/>
        <w:rPr/>
      </w:pPr>
      <w:r>
        <w:rPr/>
      </w:r>
    </w:p>
    <w:p>
      <w:pPr>
        <w:pStyle w:val="BodyText"/>
        <w:rPr/>
      </w:pPr>
      <w:r>
        <w:rPr/>
        <w:t>When considering an appropriate method for management and reporting of FX exposures it is relevant to take account of the exposure arising from book reporting and account consolidation as well as on underlying trading activity. Unlike the rest of Enron, for Metals, FX exposures are managed and reported ‘above the line’ as an integral part of ‘Gross Margin’. FX on AR/AP and cash is not separated from other trading exposures. This is because of the integrated nature of the business and accounting system. The integrated nature of the TB also means that book and consolidation FX exposures are managed appropriately.</w:t>
      </w:r>
    </w:p>
    <w:p>
      <w:pPr>
        <w:pStyle w:val="Normal"/>
        <w:rPr/>
      </w:pPr>
      <w:r>
        <w:rPr/>
      </w:r>
    </w:p>
    <w:p>
      <w:pPr>
        <w:pStyle w:val="Heading1"/>
        <w:ind w:hanging="0" w:start="0"/>
        <w:rPr/>
      </w:pPr>
      <w:r>
        <w:rPr/>
        <w:t>Trading Activities</w:t>
      </w:r>
    </w:p>
    <w:p>
      <w:pPr>
        <w:pStyle w:val="Normal"/>
        <w:rPr/>
      </w:pPr>
      <w:r>
        <w:rPr/>
      </w:r>
    </w:p>
    <w:p>
      <w:pPr>
        <w:pStyle w:val="BodyText"/>
        <w:rPr/>
      </w:pPr>
      <w:r>
        <w:rPr/>
        <w:t>The current Enron Metals trading set up has the FX trader within “earshot” of the Financial Metals traders. The FX trader also carries out hedges on behalf of the other parts of the metals business, the main other “customer” being the Merchanting business (which requires FX trades twice a day on average). Key issues:</w:t>
      </w:r>
    </w:p>
    <w:p>
      <w:pPr>
        <w:pStyle w:val="Normal"/>
        <w:rPr/>
      </w:pPr>
      <w:r>
        <w:rPr/>
      </w:r>
    </w:p>
    <w:p>
      <w:pPr>
        <w:pStyle w:val="Normal"/>
        <w:numPr>
          <w:ilvl w:val="0"/>
          <w:numId w:val="18"/>
        </w:numPr>
        <w:jc w:val="both"/>
        <w:rPr/>
      </w:pPr>
      <w:r>
        <w:rPr>
          <w:color w:val="000000"/>
        </w:rPr>
        <w:t xml:space="preserve">The limit structure in place for the Financial Trading business is monitored on a daily basis (and reported to Houston) </w:t>
      </w:r>
      <w:r>
        <w:rPr>
          <w:b/>
          <w:i/>
          <w:color w:val="000000"/>
        </w:rPr>
        <w:t>This provides transparency to the FX positions being run in the financial metals business to both local and Houston management</w:t>
      </w:r>
      <w:r>
        <w:rPr>
          <w:b/>
          <w:i/>
          <w:color w:val="FF0000"/>
        </w:rPr>
        <w:t>.(2)</w:t>
      </w:r>
    </w:p>
    <w:p>
      <w:pPr>
        <w:pStyle w:val="Normal"/>
        <w:numPr>
          <w:ilvl w:val="0"/>
          <w:numId w:val="18"/>
        </w:numPr>
        <w:jc w:val="both"/>
        <w:rPr/>
      </w:pPr>
      <w:r>
        <w:rPr/>
        <w:t xml:space="preserve">The location of the Financial Metals traders and the FX trader allows real time hedging of FX exposures on non-USD denominated activity. </w:t>
      </w:r>
      <w:r>
        <w:rPr>
          <w:b/>
          <w:i/>
        </w:rPr>
        <w:t xml:space="preserve">This aids the trading process, given the high deal flow in the financial trading area. The incremental impact on back office for FX trading is minimal. </w:t>
      </w:r>
      <w:r>
        <w:rPr>
          <w:b/>
          <w:i/>
          <w:color w:val="FF0000"/>
        </w:rPr>
        <w:t>(4)</w:t>
      </w:r>
    </w:p>
    <w:p>
      <w:pPr>
        <w:pStyle w:val="Normal"/>
        <w:numPr>
          <w:ilvl w:val="0"/>
          <w:numId w:val="18"/>
        </w:numPr>
        <w:jc w:val="both"/>
        <w:rPr>
          <w:b/>
          <w:i/>
          <w:i/>
          <w:color w:val="000000"/>
        </w:rPr>
      </w:pPr>
      <w:r>
        <w:rPr/>
        <w:t xml:space="preserve">The financial trading area has SFA model approval for its risk management activities. Whilst the FX risk management is not part of the model approval, the SFA does take an interest in how FX exposures are managed. </w:t>
      </w:r>
      <w:r>
        <w:rPr>
          <w:b/>
          <w:i/>
        </w:rPr>
        <w:t>The SFA are focusing on the integration of MG in their November visit. If they should look at the management of FX then we must be able to support any changes to the existing methodology. The SFA will visit on a regular basis going forward due to the higher regulatory impact on the Financial Metals trading business.</w:t>
      </w:r>
    </w:p>
    <w:p>
      <w:pPr>
        <w:pStyle w:val="Normal"/>
        <w:numPr>
          <w:ilvl w:val="0"/>
          <w:numId w:val="3"/>
        </w:numPr>
        <w:jc w:val="both"/>
        <w:rPr>
          <w:color w:val="FF0000"/>
        </w:rPr>
      </w:pPr>
      <w:r>
        <w:rPr>
          <w:color w:val="000000"/>
        </w:rPr>
        <w:t xml:space="preserve">The physical businesses do not have dynamic FX exposure. FX exposures are hedged at time of occurrence and not dynamically hedged. </w:t>
      </w:r>
      <w:r>
        <w:rPr>
          <w:b/>
          <w:i/>
          <w:color w:val="000000"/>
        </w:rPr>
        <w:t>The fully integrated balance sheet provides assurance that all FX P&amp;l is being captured</w:t>
      </w:r>
      <w:r>
        <w:rPr>
          <w:b/>
          <w:i/>
          <w:color w:val="FF0000"/>
        </w:rPr>
        <w:t>.(2)</w:t>
      </w:r>
    </w:p>
    <w:p>
      <w:pPr>
        <w:pStyle w:val="Normal"/>
        <w:numPr>
          <w:ilvl w:val="0"/>
          <w:numId w:val="18"/>
        </w:numPr>
        <w:jc w:val="both"/>
        <w:rPr>
          <w:b/>
          <w:i/>
          <w:i/>
        </w:rPr>
      </w:pPr>
      <w:r>
        <w:rPr/>
        <w:t>Cash balances &amp; AR/AP form part of the FX trading position for Enron Metals. However, foreign cash balances are flattened on a daily basis for EML, and kept close to flat for EMCC</w:t>
      </w:r>
      <w:r>
        <w:rPr>
          <w:b/>
          <w:i/>
          <w:color w:val="000000"/>
        </w:rPr>
        <w:t>.</w:t>
      </w:r>
      <w:r>
        <w:rPr>
          <w:b/>
          <w:i/>
          <w:color w:val="FF0000"/>
        </w:rPr>
        <w:t xml:space="preserve"> (2)</w:t>
      </w:r>
      <w:r>
        <w:rPr/>
        <w:t xml:space="preserve"> </w:t>
      </w:r>
      <w:r>
        <w:rPr>
          <w:b/>
          <w:i/>
        </w:rPr>
        <w:t xml:space="preserve">Splitting the FX element out between trading assets and AP/AR &amp; cash would require systems development and additional postings. This would add to, </w:t>
      </w:r>
      <w:r>
        <w:rPr>
          <w:b/>
          <w:i/>
          <w:u w:val="single"/>
        </w:rPr>
        <w:t>not</w:t>
      </w:r>
      <w:r>
        <w:rPr>
          <w:b/>
          <w:i/>
        </w:rPr>
        <w:t xml:space="preserve"> reduce operational risk. In addition, having Infinity as the source of the FX information, with feeds of data to the AS400 would introduce additional operational risk.</w:t>
      </w:r>
    </w:p>
    <w:p>
      <w:pPr>
        <w:pStyle w:val="Normal"/>
        <w:numPr>
          <w:ilvl w:val="0"/>
          <w:numId w:val="18"/>
        </w:numPr>
        <w:jc w:val="both"/>
        <w:rPr>
          <w:b/>
          <w:i/>
          <w:i/>
        </w:rPr>
      </w:pPr>
      <w:r>
        <w:rPr/>
        <w:t xml:space="preserve">The reporting currency for Metals is USD (except Germany), the same as for Enron Group accounts. This minimises FX risk with respect to consolidation of Enron Metals into the Enron group accounts (&amp; of individual book P&amp;Ls, as these actually match the entities). </w:t>
      </w:r>
      <w:r>
        <w:rPr>
          <w:b/>
          <w:i/>
          <w:color w:val="FF0000"/>
        </w:rPr>
        <w:t>(2)</w:t>
      </w:r>
    </w:p>
    <w:p>
      <w:pPr>
        <w:pStyle w:val="Normal"/>
        <w:jc w:val="both"/>
        <w:rPr>
          <w:b/>
          <w:i/>
          <w:i/>
        </w:rPr>
      </w:pPr>
      <w:r>
        <w:rPr>
          <w:b/>
          <w:i/>
        </w:rPr>
      </w:r>
    </w:p>
    <w:p>
      <w:pPr>
        <w:pStyle w:val="BodyText"/>
        <w:rPr>
          <w:i/>
          <w:i/>
        </w:rPr>
      </w:pPr>
      <w:r>
        <w:rPr>
          <w:i/>
        </w:rPr>
        <w:t>Given the above, we do not consider it appropriate to strip out FX risk management from the Metals group. Exemption from the board policy is thereby sought to allow the following business processes to be maintained:</w:t>
      </w:r>
    </w:p>
    <w:p>
      <w:pPr>
        <w:pStyle w:val="Normal"/>
        <w:jc w:val="both"/>
        <w:rPr>
          <w:i/>
          <w:i/>
        </w:rPr>
      </w:pPr>
      <w:r>
        <w:rPr>
          <w:i/>
        </w:rPr>
      </w:r>
    </w:p>
    <w:p>
      <w:pPr>
        <w:pStyle w:val="Heading5"/>
        <w:ind w:hanging="0" w:start="0"/>
        <w:rPr/>
      </w:pPr>
      <w:r>
        <w:rPr/>
        <w:t>Financial Trading Business</w:t>
      </w:r>
    </w:p>
    <w:p>
      <w:pPr>
        <w:pStyle w:val="Normal"/>
        <w:jc w:val="both"/>
        <w:rPr/>
      </w:pPr>
      <w:r>
        <w:rPr/>
      </w:r>
    </w:p>
    <w:p>
      <w:pPr>
        <w:pStyle w:val="Normal"/>
        <w:numPr>
          <w:ilvl w:val="0"/>
          <w:numId w:val="11"/>
        </w:numPr>
        <w:jc w:val="both"/>
        <w:rPr/>
      </w:pPr>
      <w:r>
        <w:rPr/>
        <w:t>Metals FX trader located with the Financial Metal traders.</w:t>
      </w:r>
    </w:p>
    <w:p>
      <w:pPr>
        <w:pStyle w:val="Normal"/>
        <w:numPr>
          <w:ilvl w:val="0"/>
          <w:numId w:val="11"/>
        </w:numPr>
        <w:jc w:val="both"/>
        <w:rPr/>
      </w:pPr>
      <w:r>
        <w:rPr/>
        <w:t>Continued reporting of FX limit usage to Houston FX desk, essentially delegation to Enron metals of its FX hedging activities within deminimus limits.</w:t>
      </w:r>
      <w:r>
        <w:rPr>
          <w:b/>
          <w:color w:val="FF0000"/>
        </w:rPr>
        <w:t>(2)</w:t>
      </w:r>
    </w:p>
    <w:p>
      <w:pPr>
        <w:pStyle w:val="Normal"/>
        <w:numPr>
          <w:ilvl w:val="0"/>
          <w:numId w:val="11"/>
        </w:numPr>
        <w:jc w:val="both"/>
        <w:rPr>
          <w:b/>
          <w:i/>
          <w:i/>
        </w:rPr>
      </w:pPr>
      <w:r>
        <w:rPr/>
        <w:t>The Metals FX trader to be responsible for hedging exposures on AR, AP &amp; MTM with the FX desk</w:t>
      </w:r>
      <w:r>
        <w:rPr>
          <w:b/>
          <w:i/>
          <w:color w:val="000000"/>
        </w:rPr>
        <w:t>.</w:t>
      </w:r>
      <w:r>
        <w:rPr>
          <w:b/>
          <w:i/>
          <w:color w:val="FF0000"/>
        </w:rPr>
        <w:t xml:space="preserve"> (1)(2)(3)(4) </w:t>
      </w:r>
      <w:r>
        <w:rPr>
          <w:b/>
          <w:i/>
          <w:color w:val="000000"/>
        </w:rPr>
        <w:t>(Note: This procedure is an improvement on the existing EEL businesses).</w:t>
      </w:r>
    </w:p>
    <w:p>
      <w:pPr>
        <w:pStyle w:val="Normal"/>
        <w:numPr>
          <w:ilvl w:val="0"/>
          <w:numId w:val="11"/>
        </w:numPr>
        <w:jc w:val="both"/>
        <w:rPr/>
      </w:pPr>
      <w:r>
        <w:rPr/>
        <w:t>FX on all trading assets &amp; cash/AP/AR to be taken to trading P&amp;L.</w:t>
      </w:r>
      <w:r>
        <w:rPr>
          <w:b/>
          <w:i/>
          <w:color w:val="FF0000"/>
        </w:rPr>
        <w:t>(2)</w:t>
      </w:r>
    </w:p>
    <w:p>
      <w:pPr>
        <w:pStyle w:val="Normal"/>
        <w:numPr>
          <w:ilvl w:val="0"/>
          <w:numId w:val="11"/>
        </w:numPr>
        <w:jc w:val="both"/>
        <w:rPr/>
      </w:pPr>
      <w:r>
        <w:rPr/>
        <w:t>Management of all currency cash positions to be carried out by the FX trader with Treasury/Cash Management.</w:t>
      </w:r>
      <w:r>
        <w:rPr>
          <w:b/>
          <w:color w:val="FF0000"/>
        </w:rPr>
        <w:t>(2)(3)</w:t>
      </w:r>
    </w:p>
    <w:p>
      <w:pPr>
        <w:pStyle w:val="Normal"/>
        <w:jc w:val="both"/>
        <w:rPr/>
      </w:pPr>
      <w:r>
        <w:rPr/>
      </w:r>
    </w:p>
    <w:p>
      <w:pPr>
        <w:pStyle w:val="Heading5"/>
        <w:ind w:hanging="0" w:start="0"/>
        <w:rPr/>
      </w:pPr>
      <w:r>
        <w:rPr/>
        <w:t>Physical Trading Businesses</w:t>
      </w:r>
    </w:p>
    <w:p>
      <w:pPr>
        <w:pStyle w:val="Normal"/>
        <w:jc w:val="both"/>
        <w:rPr/>
      </w:pPr>
      <w:r>
        <w:rPr/>
      </w:r>
    </w:p>
    <w:p>
      <w:pPr>
        <w:pStyle w:val="Normal"/>
        <w:numPr>
          <w:ilvl w:val="0"/>
          <w:numId w:val="8"/>
        </w:numPr>
        <w:jc w:val="both"/>
        <w:rPr/>
      </w:pPr>
      <w:r>
        <w:rPr/>
        <w:t>FX trading managed by the Enron Metals FX trader.</w:t>
      </w:r>
    </w:p>
    <w:p>
      <w:pPr>
        <w:pStyle w:val="Normal"/>
        <w:numPr>
          <w:ilvl w:val="0"/>
          <w:numId w:val="14"/>
        </w:numPr>
        <w:jc w:val="both"/>
        <w:rPr>
          <w:b/>
          <w:i/>
          <w:i/>
          <w:color w:val="FF0000"/>
        </w:rPr>
      </w:pPr>
      <w:r>
        <w:rPr/>
        <w:t xml:space="preserve">IT Development required to enable reporting and monitoring of FX deltas and PVBP </w:t>
      </w:r>
      <w:r>
        <w:rPr>
          <w:color w:val="000000"/>
        </w:rPr>
        <w:t xml:space="preserve">strips, thereby enabling active reporting that FX exposure post hedging remains deminimus. </w:t>
      </w:r>
      <w:r>
        <w:rPr>
          <w:b/>
          <w:i/>
          <w:color w:val="FF0000"/>
        </w:rPr>
        <w:t>(2)</w:t>
      </w:r>
    </w:p>
    <w:p>
      <w:pPr>
        <w:pStyle w:val="Normal"/>
        <w:numPr>
          <w:ilvl w:val="0"/>
          <w:numId w:val="17"/>
        </w:numPr>
        <w:jc w:val="both"/>
        <w:rPr>
          <w:b/>
          <w:i/>
          <w:i/>
          <w:color w:val="FF0000"/>
        </w:rPr>
      </w:pPr>
      <w:r>
        <w:rPr/>
        <w:t>The Metals FX trader to be responsible for hedging exposures on AR, AP &amp; MTM with the FX desk</w:t>
      </w:r>
      <w:r>
        <w:rPr>
          <w:b/>
          <w:i/>
          <w:color w:val="FF0000"/>
        </w:rPr>
        <w:t>.(1)(2)(3)(4)</w:t>
      </w:r>
    </w:p>
    <w:p>
      <w:pPr>
        <w:pStyle w:val="Normal"/>
        <w:numPr>
          <w:ilvl w:val="0"/>
          <w:numId w:val="8"/>
        </w:numPr>
        <w:jc w:val="both"/>
        <w:rPr/>
      </w:pPr>
      <w:r>
        <w:rPr/>
        <w:t>Management of all currency cash positions to be carried out by the FX trader with Treasury/Cash Management.</w:t>
      </w:r>
      <w:r>
        <w:rPr>
          <w:b/>
          <w:color w:val="FF0000"/>
        </w:rPr>
        <w:t>(2)(3)</w:t>
      </w:r>
    </w:p>
    <w:p>
      <w:pPr>
        <w:pStyle w:val="Normal"/>
        <w:jc w:val="both"/>
        <w:rPr/>
      </w:pPr>
      <w:r>
        <w:rPr/>
      </w:r>
    </w:p>
    <w:p>
      <w:pPr>
        <w:pStyle w:val="Normal"/>
        <w:jc w:val="both"/>
        <w:rPr>
          <w:b/>
        </w:rPr>
      </w:pPr>
      <w:r>
        <w:rPr>
          <w:b/>
        </w:rPr>
        <w:t>Non-Trading Entities / expenses below the line.</w:t>
      </w:r>
    </w:p>
    <w:p>
      <w:pPr>
        <w:pStyle w:val="Normal"/>
        <w:jc w:val="both"/>
        <w:rPr>
          <w:b/>
        </w:rPr>
      </w:pPr>
      <w:r>
        <w:rPr>
          <w:b/>
        </w:rPr>
      </w:r>
    </w:p>
    <w:p>
      <w:pPr>
        <w:pStyle w:val="Normal"/>
        <w:numPr>
          <w:ilvl w:val="0"/>
          <w:numId w:val="2"/>
        </w:numPr>
        <w:jc w:val="both"/>
        <w:rPr/>
      </w:pPr>
      <w:r>
        <w:rPr/>
        <w:t>Hedging of FX exposures in non-trading entities to be transferred to the Treasury group.</w:t>
      </w:r>
    </w:p>
    <w:p>
      <w:pPr>
        <w:pStyle w:val="Normal"/>
        <w:rPr/>
      </w:pPr>
      <w:r>
        <w:rPr/>
      </w:r>
    </w:p>
    <w:p>
      <w:pPr>
        <w:pStyle w:val="Heading3"/>
        <w:ind w:hanging="0" w:start="0"/>
        <w:rPr>
          <w:sz w:val="28"/>
          <w:u w:val="single"/>
        </w:rPr>
      </w:pPr>
      <w:r>
        <w:rPr>
          <w:sz w:val="28"/>
          <w:u w:val="single"/>
        </w:rPr>
        <w:t>Interest Rate Risk Management</w:t>
      </w:r>
    </w:p>
    <w:p>
      <w:pPr>
        <w:pStyle w:val="Normal"/>
        <w:rPr>
          <w:sz w:val="28"/>
          <w:u w:val="single"/>
        </w:rPr>
      </w:pPr>
      <w:r>
        <w:rPr>
          <w:sz w:val="28"/>
          <w:u w:val="single"/>
        </w:rPr>
      </w:r>
    </w:p>
    <w:p>
      <w:pPr>
        <w:pStyle w:val="Heading2"/>
        <w:ind w:hanging="0" w:start="0"/>
        <w:rPr/>
      </w:pPr>
      <w:r>
        <w:rPr/>
        <w:t>Rationale for centralised Interest Rate Risk Management</w:t>
      </w:r>
    </w:p>
    <w:p>
      <w:pPr>
        <w:pStyle w:val="Normal"/>
        <w:jc w:val="both"/>
        <w:rPr/>
      </w:pPr>
      <w:r>
        <w:rPr/>
      </w:r>
    </w:p>
    <w:p>
      <w:pPr>
        <w:pStyle w:val="Normal"/>
        <w:jc w:val="both"/>
        <w:rPr/>
      </w:pPr>
      <w:r>
        <w:rPr/>
        <w:t>There are several operational and financial reasons for maintaining centralised activities for interest rate exposures. These can be summarised as:</w:t>
      </w:r>
    </w:p>
    <w:p>
      <w:pPr>
        <w:pStyle w:val="Normal"/>
        <w:jc w:val="both"/>
        <w:rPr/>
      </w:pPr>
      <w:r>
        <w:rPr/>
      </w:r>
    </w:p>
    <w:p>
      <w:pPr>
        <w:pStyle w:val="Normal"/>
        <w:numPr>
          <w:ilvl w:val="0"/>
          <w:numId w:val="16"/>
        </w:numPr>
        <w:jc w:val="both"/>
        <w:rPr/>
      </w:pPr>
      <w:r>
        <w:rPr/>
        <w:t>Centralise expertise of IR market and consequent transfer to all business units.</w:t>
      </w:r>
    </w:p>
    <w:p>
      <w:pPr>
        <w:pStyle w:val="Normal"/>
        <w:numPr>
          <w:ilvl w:val="0"/>
          <w:numId w:val="16"/>
        </w:numPr>
        <w:jc w:val="both"/>
        <w:rPr/>
      </w:pPr>
      <w:r>
        <w:rPr/>
        <w:t>Minimise sensitivity to yield curve moves for Enron’s fwd mark to market assets &amp; liabilities.</w:t>
      </w:r>
    </w:p>
    <w:p>
      <w:pPr>
        <w:pStyle w:val="Normal"/>
        <w:numPr>
          <w:ilvl w:val="0"/>
          <w:numId w:val="16"/>
        </w:numPr>
        <w:jc w:val="both"/>
        <w:rPr/>
      </w:pPr>
      <w:r>
        <w:rPr/>
        <w:t>Central knowledge of IR exposure and hence control by limits.</w:t>
      </w:r>
    </w:p>
    <w:p>
      <w:pPr>
        <w:pStyle w:val="Normal"/>
        <w:numPr>
          <w:ilvl w:val="0"/>
          <w:numId w:val="16"/>
        </w:numPr>
        <w:jc w:val="both"/>
        <w:rPr/>
      </w:pPr>
      <w:r>
        <w:rPr/>
        <w:t>Minimisation of bid-offer spread hits for external hedging.</w:t>
      </w:r>
    </w:p>
    <w:p>
      <w:pPr>
        <w:pStyle w:val="Normal"/>
        <w:rPr/>
      </w:pPr>
      <w:r>
        <w:rPr/>
      </w:r>
    </w:p>
    <w:p>
      <w:pPr>
        <w:pStyle w:val="BodyText"/>
        <w:rPr/>
      </w:pPr>
      <w:r>
        <w:rPr/>
        <w:t xml:space="preserve">Where the following commentary refers to an activity that addresses the above it is referenced by the item number.  </w:t>
      </w:r>
    </w:p>
    <w:p>
      <w:pPr>
        <w:pStyle w:val="BodyText"/>
        <w:rPr/>
      </w:pPr>
      <w:r>
        <w:rPr/>
      </w:r>
    </w:p>
    <w:p>
      <w:pPr>
        <w:pStyle w:val="BodyText"/>
        <w:rPr>
          <w:u w:val="single"/>
        </w:rPr>
      </w:pPr>
      <w:r>
        <w:rPr>
          <w:u w:val="single"/>
        </w:rPr>
        <w:t>Operational process</w:t>
      </w:r>
    </w:p>
    <w:p>
      <w:pPr>
        <w:pStyle w:val="BodyText"/>
        <w:rPr>
          <w:u w:val="single"/>
        </w:rPr>
      </w:pPr>
      <w:r>
        <w:rPr>
          <w:u w:val="single"/>
        </w:rPr>
      </w:r>
    </w:p>
    <w:p>
      <w:pPr>
        <w:pStyle w:val="BodyText"/>
        <w:rPr/>
      </w:pPr>
      <w:r>
        <w:rPr/>
        <w:t xml:space="preserve">Rho exposure is consolidated by the fwd mtm / cashflows being analysed for all fwd market to market assets &amp; liabilities. These are centrally collated and analysed to ascertain sensitivities. </w:t>
      </w:r>
    </w:p>
    <w:p>
      <w:pPr>
        <w:pStyle w:val="BodyText"/>
        <w:rPr/>
      </w:pPr>
      <w:r>
        <w:rPr/>
      </w:r>
    </w:p>
    <w:p>
      <w:pPr>
        <w:pStyle w:val="BodyText"/>
        <w:rPr/>
      </w:pPr>
      <w:r>
        <w:rPr/>
        <w:t>As the central IRS book takes on responsibility for the rho risk, as part of this process, cashflows are made between the Central IRS book and the various trading books for:</w:t>
      </w:r>
    </w:p>
    <w:p>
      <w:pPr>
        <w:pStyle w:val="BodyText"/>
        <w:rPr/>
      </w:pPr>
      <w:r>
        <w:rPr/>
      </w:r>
    </w:p>
    <w:p>
      <w:pPr>
        <w:pStyle w:val="BodyText"/>
        <w:numPr>
          <w:ilvl w:val="0"/>
          <w:numId w:val="6"/>
        </w:numPr>
        <w:rPr/>
      </w:pPr>
      <w:r>
        <w:rPr/>
        <w:t>Rho – P&amp;L on rho is reimbursed / charged to the EEL trading books i.e. in the event that rho P&amp;L is positive, the book is charged and if Rho P&amp;L is negative the book paid.</w:t>
      </w:r>
    </w:p>
    <w:p>
      <w:pPr>
        <w:pStyle w:val="Normal"/>
        <w:jc w:val="both"/>
        <w:rPr/>
      </w:pPr>
      <w:r>
        <w:rPr/>
      </w:r>
    </w:p>
    <w:p>
      <w:pPr>
        <w:pStyle w:val="Normal"/>
        <w:numPr>
          <w:ilvl w:val="0"/>
          <w:numId w:val="6"/>
        </w:numPr>
        <w:jc w:val="both"/>
        <w:rPr/>
      </w:pPr>
      <w:r>
        <w:rPr/>
        <w:t xml:space="preserve">Drift – this is currently left in the EEL trading books but the intention for 2001 is that this will also be striped from the books. </w:t>
      </w:r>
    </w:p>
    <w:p>
      <w:pPr>
        <w:pStyle w:val="Normal"/>
        <w:jc w:val="both"/>
        <w:rPr/>
      </w:pPr>
      <w:r>
        <w:rPr/>
      </w:r>
    </w:p>
    <w:p>
      <w:pPr>
        <w:pStyle w:val="Normal"/>
        <w:numPr>
          <w:ilvl w:val="0"/>
          <w:numId w:val="6"/>
        </w:numPr>
        <w:jc w:val="both"/>
        <w:rPr/>
      </w:pPr>
      <w:r>
        <w:rPr/>
        <w:t>Due to its complexity, option theta is not hedged centrally.</w:t>
      </w:r>
    </w:p>
    <w:p>
      <w:pPr>
        <w:pStyle w:val="Normal"/>
        <w:jc w:val="both"/>
        <w:rPr/>
      </w:pPr>
      <w:r>
        <w:rPr/>
      </w:r>
    </w:p>
    <w:p>
      <w:pPr>
        <w:pStyle w:val="Normal"/>
        <w:jc w:val="both"/>
        <w:rPr/>
      </w:pPr>
      <w:r>
        <w:rPr/>
        <w:t>The overall intention to remove the impact of yield curve changes to the P&amp;L means that any funding structures must also form part of the rho exposure stripped out of the book.</w:t>
      </w:r>
    </w:p>
    <w:p>
      <w:pPr>
        <w:pStyle w:val="Normal"/>
        <w:rPr/>
      </w:pPr>
      <w:r>
        <w:rPr/>
      </w:r>
    </w:p>
    <w:p>
      <w:pPr>
        <w:pStyle w:val="Heading2"/>
        <w:ind w:hanging="0" w:start="0"/>
        <w:rPr/>
      </w:pPr>
      <w:r>
        <w:rPr/>
        <w:t>Enron Metals Yield Curve Sensitivity</w:t>
      </w:r>
    </w:p>
    <w:p>
      <w:pPr>
        <w:pStyle w:val="Normal"/>
        <w:rPr/>
      </w:pPr>
      <w:r>
        <w:rPr/>
      </w:r>
    </w:p>
    <w:p>
      <w:pPr>
        <w:pStyle w:val="Heading1"/>
        <w:ind w:hanging="0" w:start="0"/>
        <w:rPr/>
      </w:pPr>
      <w:r>
        <w:rPr/>
        <w:t>Trading Activities</w:t>
      </w:r>
    </w:p>
    <w:p>
      <w:pPr>
        <w:pStyle w:val="Normal"/>
        <w:rPr/>
      </w:pPr>
      <w:r>
        <w:rPr/>
      </w:r>
    </w:p>
    <w:p>
      <w:pPr>
        <w:pStyle w:val="BodyText"/>
        <w:rPr/>
      </w:pPr>
      <w:r>
        <w:rPr/>
        <w:t>The rho risk embedded in the forward assets and liabilities have historically not been specifically hedged for the metals business. However, In the case of large structured deals the business has hedged rho exposure in the past. Key issues:</w:t>
      </w:r>
    </w:p>
    <w:p>
      <w:pPr>
        <w:pStyle w:val="Normal"/>
        <w:jc w:val="both"/>
        <w:rPr/>
      </w:pPr>
      <w:r>
        <w:rPr/>
      </w:r>
    </w:p>
    <w:p>
      <w:pPr>
        <w:pStyle w:val="Normal"/>
        <w:numPr>
          <w:ilvl w:val="0"/>
          <w:numId w:val="7"/>
        </w:numPr>
        <w:jc w:val="both"/>
        <w:rPr>
          <w:color w:val="000000"/>
        </w:rPr>
      </w:pPr>
      <w:r>
        <w:rPr>
          <w:color w:val="000000"/>
        </w:rPr>
        <w:t xml:space="preserve">Stripping out the rho element from the business is only appropriate if we also strip out the funding costs and any group allocation for implied cost of capital. </w:t>
      </w:r>
      <w:r>
        <w:rPr>
          <w:b/>
          <w:i/>
          <w:color w:val="000000"/>
        </w:rPr>
        <w:t xml:space="preserve">If we remove exposure to yield curve moves but not funding costs we have a mismatch of responsibilities. A business that is not impacted by changes in the yield curve is not incentivised to minimise funding costs &amp; cost of capital. </w:t>
      </w:r>
      <w:r>
        <w:rPr>
          <w:b/>
          <w:i/>
          <w:color w:val="FF0000"/>
        </w:rPr>
        <w:t>(2)</w:t>
      </w:r>
    </w:p>
    <w:p>
      <w:pPr>
        <w:pStyle w:val="Normal"/>
        <w:numPr>
          <w:ilvl w:val="0"/>
          <w:numId w:val="7"/>
        </w:numPr>
        <w:jc w:val="both"/>
        <w:rPr>
          <w:b/>
          <w:color w:val="000000"/>
        </w:rPr>
      </w:pPr>
      <w:r>
        <w:rPr>
          <w:color w:val="000000"/>
        </w:rPr>
        <w:t xml:space="preserve">A large part of the metals business is about funding of positions (hence the need for the off balance sheet vehicle for funding stock positions). </w:t>
      </w:r>
      <w:r>
        <w:rPr>
          <w:b/>
          <w:i/>
          <w:color w:val="000000"/>
        </w:rPr>
        <w:t xml:space="preserve">Specifically, in excess of $1.5bn of inventory is managed via forward sales to remove it from the balance sheet. The term for this activity ranges from a few days to 3 months. The cost of this funding activity is taken to Gross margin (as trading income, not interest) and is an integral part of the business. If we wish to strip this out of the P&amp;L (as should be the case if the intention was to remove all yield curve exposure) then the cost of providing the funding should also be taken below the line and the Treasury group charged for the operational cost of this funding activity. </w:t>
      </w:r>
      <w:r>
        <w:rPr>
          <w:b/>
          <w:i/>
          <w:color w:val="FF0000"/>
        </w:rPr>
        <w:t>(2)</w:t>
      </w:r>
    </w:p>
    <w:p>
      <w:pPr>
        <w:pStyle w:val="Normal"/>
        <w:numPr>
          <w:ilvl w:val="0"/>
          <w:numId w:val="7"/>
        </w:numPr>
        <w:jc w:val="both"/>
        <w:rPr>
          <w:i/>
          <w:i/>
        </w:rPr>
      </w:pPr>
      <w:r>
        <w:rPr>
          <w:color w:val="000000"/>
        </w:rPr>
        <w:t>Manual extraction of “forward cashflows” is operationally intensive and adds complexity to the daily process</w:t>
      </w:r>
      <w:r>
        <w:rPr/>
        <w:t xml:space="preserve">. The work for this requires development as at no stage has it been possible to obtain a clear specification for the requirements of the data to be extracted (this is being addressed). </w:t>
      </w:r>
      <w:r>
        <w:rPr>
          <w:b/>
          <w:i/>
        </w:rPr>
        <w:t xml:space="preserve">If this is not achieved then we have an issue with the reliability of central information on yield curve sensitivity. In addition the manner in which the accounting takes place is crucial. The metals businesses work in discrete entities with fully integrated accounts. Charges to the books would need to be evidenced by real contracts and cashflows, as the counterparty is ENA. </w:t>
      </w:r>
      <w:r>
        <w:rPr>
          <w:b/>
          <w:i/>
          <w:color w:val="FF0000"/>
        </w:rPr>
        <w:t>(3)</w:t>
      </w:r>
    </w:p>
    <w:p>
      <w:pPr>
        <w:pStyle w:val="Normal"/>
        <w:numPr>
          <w:ilvl w:val="0"/>
          <w:numId w:val="18"/>
        </w:numPr>
        <w:jc w:val="both"/>
        <w:rPr>
          <w:b/>
        </w:rPr>
      </w:pPr>
      <w:r>
        <w:rPr/>
        <w:t xml:space="preserve">For forward deals there is interest rate exposure on both the MTM and the underlying position. </w:t>
      </w:r>
      <w:r>
        <w:rPr>
          <w:b/>
          <w:i/>
        </w:rPr>
        <w:t xml:space="preserve">The exposure embedded in the underlying position will vary depending upon the state of the market.  In a backwardated market the swings caused by market demand would be expected to exceed the impact of yield curve changes on the underlying valuation. In contrast, yield curve moves in a contango market will have a greater impact.  To allow the correct specification to be created for data supplied to the IRS group it is necessary for us to fully understand the rho exposures in the Metals books. </w:t>
      </w:r>
      <w:r>
        <w:rPr>
          <w:b/>
          <w:i/>
          <w:color w:val="FF0000"/>
        </w:rPr>
        <w:t>(1) (2)</w:t>
      </w:r>
    </w:p>
    <w:p>
      <w:pPr>
        <w:pStyle w:val="Normal"/>
        <w:jc w:val="both"/>
        <w:rPr>
          <w:b/>
        </w:rPr>
      </w:pPr>
      <w:r>
        <w:rPr>
          <w:b/>
        </w:rPr>
      </w:r>
    </w:p>
    <w:p>
      <w:pPr>
        <w:pStyle w:val="Heading4"/>
        <w:ind w:hanging="0" w:start="0"/>
        <w:rPr>
          <w:b w:val="false"/>
          <w:u w:val="none"/>
        </w:rPr>
      </w:pPr>
      <w:r>
        <w:rPr>
          <w:b w:val="false"/>
          <w:u w:val="none"/>
        </w:rPr>
      </w:r>
    </w:p>
    <w:p>
      <w:pPr>
        <w:pStyle w:val="Heading4"/>
        <w:ind w:hanging="0" w:start="0"/>
        <w:rPr>
          <w:b w:val="false"/>
          <w:u w:val="none"/>
        </w:rPr>
      </w:pPr>
      <w:r>
        <w:rPr>
          <w:b w:val="false"/>
          <w:u w:val="none"/>
        </w:rPr>
        <w:t>Given the above, we do not consider it appropriate to strip out the yield curve exposure from the Metals group until:</w:t>
      </w:r>
    </w:p>
    <w:p>
      <w:pPr>
        <w:pStyle w:val="Normal"/>
        <w:rPr>
          <w:b/>
          <w:u w:val="none"/>
        </w:rPr>
      </w:pPr>
      <w:r>
        <w:rPr>
          <w:b/>
          <w:u w:val="none"/>
        </w:rPr>
      </w:r>
    </w:p>
    <w:p>
      <w:pPr>
        <w:pStyle w:val="Heading4"/>
        <w:numPr>
          <w:ilvl w:val="0"/>
          <w:numId w:val="9"/>
        </w:numPr>
        <w:tabs>
          <w:tab w:val="clear" w:pos="720"/>
          <w:tab w:val="left" w:pos="405" w:leader="none"/>
        </w:tabs>
        <w:ind w:hanging="360" w:start="405" w:end="0"/>
        <w:rPr>
          <w:b w:val="false"/>
          <w:u w:val="none"/>
        </w:rPr>
      </w:pPr>
      <w:r>
        <w:rPr>
          <w:b w:val="false"/>
          <w:u w:val="none"/>
        </w:rPr>
        <w:t xml:space="preserve">The full exposure to yield curve moves, particularly differences between backwardation and contango markets, has been analysed </w:t>
      </w:r>
    </w:p>
    <w:p>
      <w:pPr>
        <w:pStyle w:val="Heading4"/>
        <w:numPr>
          <w:ilvl w:val="0"/>
          <w:numId w:val="9"/>
        </w:numPr>
        <w:tabs>
          <w:tab w:val="clear" w:pos="720"/>
          <w:tab w:val="left" w:pos="405" w:leader="none"/>
        </w:tabs>
        <w:ind w:hanging="360" w:start="405" w:end="0"/>
        <w:rPr>
          <w:b w:val="false"/>
          <w:u w:val="none"/>
        </w:rPr>
      </w:pPr>
      <w:r>
        <w:rPr>
          <w:b w:val="false"/>
          <w:u w:val="none"/>
        </w:rPr>
        <w:t>Formulation of the optimum hedging strategy for collective management of:</w:t>
      </w:r>
    </w:p>
    <w:p>
      <w:pPr>
        <w:pStyle w:val="Heading4"/>
        <w:numPr>
          <w:ilvl w:val="0"/>
          <w:numId w:val="5"/>
        </w:numPr>
        <w:tabs>
          <w:tab w:val="clear" w:pos="720"/>
          <w:tab w:val="left" w:pos="765" w:leader="none"/>
        </w:tabs>
        <w:ind w:hanging="360" w:start="765" w:end="0"/>
        <w:rPr>
          <w:b w:val="false"/>
          <w:u w:val="none"/>
        </w:rPr>
      </w:pPr>
      <w:r>
        <w:rPr>
          <w:b w:val="false"/>
          <w:u w:val="none"/>
        </w:rPr>
        <w:t>Cost of funding</w:t>
      </w:r>
    </w:p>
    <w:p>
      <w:pPr>
        <w:pStyle w:val="Heading4"/>
        <w:numPr>
          <w:ilvl w:val="0"/>
          <w:numId w:val="5"/>
        </w:numPr>
        <w:tabs>
          <w:tab w:val="clear" w:pos="720"/>
          <w:tab w:val="left" w:pos="765" w:leader="none"/>
        </w:tabs>
        <w:ind w:hanging="360" w:start="765" w:end="0"/>
        <w:rPr>
          <w:b w:val="false"/>
          <w:u w:val="none"/>
        </w:rPr>
      </w:pPr>
      <w:r>
        <w:rPr>
          <w:b w:val="false"/>
          <w:u w:val="none"/>
        </w:rPr>
        <w:t xml:space="preserve">Cost of Capital </w:t>
      </w:r>
    </w:p>
    <w:p>
      <w:pPr>
        <w:pStyle w:val="Heading4"/>
        <w:numPr>
          <w:ilvl w:val="0"/>
          <w:numId w:val="5"/>
        </w:numPr>
        <w:tabs>
          <w:tab w:val="clear" w:pos="720"/>
          <w:tab w:val="left" w:pos="765" w:leader="none"/>
        </w:tabs>
        <w:ind w:hanging="360" w:start="765" w:end="0"/>
        <w:rPr>
          <w:b w:val="false"/>
          <w:u w:val="none"/>
        </w:rPr>
      </w:pPr>
      <w:r>
        <w:rPr>
          <w:b w:val="false"/>
          <w:u w:val="none"/>
        </w:rPr>
        <w:t>Exposure to changes in the yield curve has been completed.</w:t>
      </w:r>
    </w:p>
    <w:p>
      <w:pPr>
        <w:pStyle w:val="Heading4"/>
        <w:numPr>
          <w:ilvl w:val="0"/>
          <w:numId w:val="9"/>
        </w:numPr>
        <w:tabs>
          <w:tab w:val="clear" w:pos="720"/>
          <w:tab w:val="left" w:pos="405" w:leader="none"/>
        </w:tabs>
        <w:ind w:hanging="360" w:start="405" w:end="0"/>
        <w:rPr>
          <w:b w:val="false"/>
          <w:u w:val="none"/>
        </w:rPr>
      </w:pPr>
      <w:r>
        <w:rPr>
          <w:b w:val="false"/>
          <w:u w:val="none"/>
        </w:rPr>
        <w:t>The business and the IRS group / treasury have agreed upon any transfer of costs for the funding activities carried out by the business.</w:t>
      </w:r>
    </w:p>
    <w:p>
      <w:pPr>
        <w:pStyle w:val="Normal"/>
        <w:jc w:val="both"/>
        <w:rPr>
          <w:b/>
          <w:u w:val="none"/>
        </w:rPr>
      </w:pPr>
      <w:r>
        <w:rPr>
          <w:b/>
          <w:u w:val="none"/>
        </w:rPr>
      </w:r>
    </w:p>
    <w:p>
      <w:pPr>
        <w:pStyle w:val="Normal"/>
        <w:jc w:val="both"/>
        <w:rPr/>
      </w:pPr>
      <w:r>
        <w:rPr/>
        <w:t>Having said this, operationally having the trader responsible for all risks in their book, and limits to be set accordingly, provides a means of controlling market risk whilst minimising operational risk. An ideal means of achieving this would be:</w:t>
      </w:r>
    </w:p>
    <w:p>
      <w:pPr>
        <w:pStyle w:val="Normal"/>
        <w:jc w:val="both"/>
        <w:rPr/>
      </w:pPr>
      <w:r>
        <w:rPr/>
      </w:r>
    </w:p>
    <w:p>
      <w:pPr>
        <w:pStyle w:val="Heading5"/>
        <w:ind w:hanging="0" w:start="0"/>
        <w:rPr/>
      </w:pPr>
      <w:r>
        <w:rPr/>
        <w:t>All Trading Business</w:t>
      </w:r>
    </w:p>
    <w:p>
      <w:pPr>
        <w:pStyle w:val="Normal"/>
        <w:jc w:val="both"/>
        <w:rPr/>
      </w:pPr>
      <w:r>
        <w:rPr/>
      </w:r>
    </w:p>
    <w:p>
      <w:pPr>
        <w:pStyle w:val="Normal"/>
        <w:numPr>
          <w:ilvl w:val="0"/>
          <w:numId w:val="15"/>
        </w:numPr>
        <w:jc w:val="both"/>
        <w:rPr/>
      </w:pPr>
      <w:r>
        <w:rPr/>
        <w:t>Produce an analysis of the impact of yield curve moves in all markets.</w:t>
      </w:r>
      <w:r>
        <w:rPr>
          <w:b/>
          <w:i/>
          <w:color w:val="FF0000"/>
        </w:rPr>
        <w:t xml:space="preserve"> (1)(2)</w:t>
      </w:r>
    </w:p>
    <w:p>
      <w:pPr>
        <w:pStyle w:val="Normal"/>
        <w:numPr>
          <w:ilvl w:val="0"/>
          <w:numId w:val="15"/>
        </w:numPr>
        <w:jc w:val="both"/>
        <w:rPr/>
      </w:pPr>
      <w:r>
        <w:rPr/>
        <w:t>Develop system functionality to produce rho risk data (PVBP strips/IR sensitivity ladder).</w:t>
      </w:r>
      <w:r>
        <w:rPr>
          <w:b/>
          <w:i/>
          <w:color w:val="FF0000"/>
        </w:rPr>
        <w:t xml:space="preserve"> (2)(3)</w:t>
      </w:r>
    </w:p>
    <w:p>
      <w:pPr>
        <w:pStyle w:val="Normal"/>
        <w:numPr>
          <w:ilvl w:val="0"/>
          <w:numId w:val="15"/>
        </w:numPr>
        <w:jc w:val="both"/>
        <w:rPr/>
      </w:pPr>
      <w:r>
        <w:rPr/>
        <w:t xml:space="preserve">Create a limit structure for rho exposure. </w:t>
      </w:r>
      <w:r>
        <w:rPr>
          <w:b/>
          <w:i/>
          <w:color w:val="FF0000"/>
        </w:rPr>
        <w:t>(2)(3)</w:t>
      </w:r>
    </w:p>
    <w:p>
      <w:pPr>
        <w:pStyle w:val="Normal"/>
        <w:numPr>
          <w:ilvl w:val="0"/>
          <w:numId w:val="15"/>
        </w:numPr>
        <w:jc w:val="both"/>
        <w:rPr/>
      </w:pPr>
      <w:r>
        <w:rPr/>
        <w:t xml:space="preserve">Metals Trading to be responsible for managing the rho exposure within these limits for all trading assets, this trading to be with the central IRS desk. </w:t>
      </w:r>
      <w:r>
        <w:rPr>
          <w:b/>
          <w:i/>
          <w:color w:val="FF0000"/>
        </w:rPr>
        <w:t>(2)(3)(4)</w:t>
      </w:r>
    </w:p>
    <w:p>
      <w:pPr>
        <w:pStyle w:val="Normal"/>
        <w:jc w:val="both"/>
        <w:rPr/>
      </w:pPr>
      <w:r>
        <w:rPr/>
      </w:r>
    </w:p>
    <w:p>
      <w:pPr>
        <w:pStyle w:val="Heading5"/>
        <w:ind w:hanging="0" w:start="0"/>
        <w:rPr/>
      </w:pPr>
      <w:r>
        <w:rPr/>
        <w:t>Non-Trading Entities</w:t>
      </w:r>
    </w:p>
    <w:p>
      <w:pPr>
        <w:pStyle w:val="Normal"/>
        <w:rPr/>
      </w:pPr>
      <w:r>
        <w:rPr/>
      </w:r>
    </w:p>
    <w:p>
      <w:pPr>
        <w:pStyle w:val="Heading2"/>
        <w:numPr>
          <w:ilvl w:val="0"/>
          <w:numId w:val="12"/>
        </w:numPr>
        <w:rPr>
          <w:b w:val="false"/>
          <w:sz w:val="20"/>
        </w:rPr>
      </w:pPr>
      <w:r>
        <w:rPr>
          <w:b w:val="false"/>
          <w:sz w:val="20"/>
        </w:rPr>
        <w:t>Treasury taking on responsibility for non-trading book funding requirements will by default ensure coverage of non-trading book rho risk.</w:t>
      </w:r>
    </w:p>
    <w:p>
      <w:pPr>
        <w:pStyle w:val="Heading2"/>
        <w:ind w:hanging="0" w:start="0"/>
        <w:rPr>
          <w:b w:val="false"/>
          <w:sz w:val="20"/>
        </w:rPr>
      </w:pPr>
      <w:r>
        <w:rPr>
          <w:b w:val="false"/>
          <w:sz w:val="20"/>
        </w:rPr>
      </w:r>
    </w:p>
    <w:p>
      <w:pPr>
        <w:pStyle w:val="Heading2"/>
        <w:ind w:hanging="0" w:start="0"/>
        <w:rPr>
          <w:sz w:val="28"/>
          <w:u w:val="single"/>
        </w:rPr>
      </w:pPr>
      <w:r>
        <w:rPr>
          <w:sz w:val="28"/>
          <w:u w:val="single"/>
        </w:rPr>
        <w:t>Conclusion</w:t>
      </w:r>
    </w:p>
    <w:p>
      <w:pPr>
        <w:pStyle w:val="Normal"/>
        <w:rPr>
          <w:sz w:val="28"/>
          <w:u w:val="single"/>
        </w:rPr>
      </w:pPr>
      <w:r>
        <w:rPr>
          <w:sz w:val="28"/>
          <w:u w:val="single"/>
        </w:rPr>
      </w:r>
    </w:p>
    <w:p>
      <w:pPr>
        <w:pStyle w:val="Normal"/>
        <w:jc w:val="both"/>
        <w:rPr/>
      </w:pPr>
      <w:r>
        <w:rPr/>
        <w:t>Enron Metals collectively manages commodity and non-commodity risk. The proposal put forward is that:</w:t>
      </w:r>
    </w:p>
    <w:p>
      <w:pPr>
        <w:pStyle w:val="Normal"/>
        <w:jc w:val="both"/>
        <w:rPr/>
      </w:pPr>
      <w:r>
        <w:rPr/>
        <w:t xml:space="preserve"> </w:t>
      </w:r>
    </w:p>
    <w:p>
      <w:pPr>
        <w:pStyle w:val="Normal"/>
        <w:numPr>
          <w:ilvl w:val="0"/>
          <w:numId w:val="4"/>
        </w:numPr>
        <w:jc w:val="both"/>
        <w:rPr/>
      </w:pPr>
      <w:r>
        <w:rPr/>
        <w:t>This should continue to be the case with delegation of authority to the Metals business.</w:t>
      </w:r>
    </w:p>
    <w:p>
      <w:pPr>
        <w:pStyle w:val="Normal"/>
        <w:numPr>
          <w:ilvl w:val="0"/>
          <w:numId w:val="4"/>
        </w:numPr>
        <w:jc w:val="both"/>
        <w:rPr/>
      </w:pPr>
      <w:r>
        <w:rPr/>
        <w:t>Development of processes will allow supervision of non-commodity trading risks by the central IR and FX Groups.</w:t>
      </w:r>
    </w:p>
    <w:p>
      <w:pPr>
        <w:pStyle w:val="Normal"/>
        <w:jc w:val="both"/>
        <w:rPr/>
      </w:pPr>
      <w:r>
        <w:rPr/>
      </w:r>
    </w:p>
    <w:p>
      <w:pPr>
        <w:pStyle w:val="Normal"/>
        <w:jc w:val="both"/>
        <w:rPr/>
      </w:pPr>
      <w:r>
        <w:rPr/>
        <w:t>This will allow:</w:t>
      </w:r>
    </w:p>
    <w:p>
      <w:pPr>
        <w:pStyle w:val="Normal"/>
        <w:jc w:val="both"/>
        <w:rPr/>
      </w:pPr>
      <w:r>
        <w:rPr/>
      </w:r>
    </w:p>
    <w:p>
      <w:pPr>
        <w:pStyle w:val="Normal"/>
        <w:numPr>
          <w:ilvl w:val="0"/>
          <w:numId w:val="13"/>
        </w:numPr>
        <w:jc w:val="both"/>
        <w:rPr/>
      </w:pPr>
      <w:r>
        <w:rPr/>
        <w:t>Full utilisation of the internal franchise of the IRS and FX Trading desks.</w:t>
      </w:r>
    </w:p>
    <w:p>
      <w:pPr>
        <w:pStyle w:val="Normal"/>
        <w:numPr>
          <w:ilvl w:val="0"/>
          <w:numId w:val="13"/>
        </w:numPr>
        <w:jc w:val="both"/>
        <w:rPr/>
      </w:pPr>
      <w:r>
        <w:rPr/>
        <w:t>Minimisation of Operational Risks.</w:t>
      </w:r>
    </w:p>
    <w:p>
      <w:pPr>
        <w:pStyle w:val="Normal"/>
        <w:numPr>
          <w:ilvl w:val="0"/>
          <w:numId w:val="13"/>
        </w:numPr>
        <w:jc w:val="both"/>
        <w:rPr/>
      </w:pPr>
      <w:r>
        <w:rPr/>
        <w:t>The integrated metals business processes to remain intact.</w:t>
      </w:r>
    </w:p>
    <w:p>
      <w:pPr>
        <w:pStyle w:val="Heading2"/>
        <w:ind w:hanging="0" w:start="0"/>
        <w:jc w:val="both"/>
        <w:rPr/>
      </w:pPr>
      <w:r>
        <w:rPr/>
      </w:r>
    </w:p>
    <w:p>
      <w:pPr>
        <w:pStyle w:val="Heading2"/>
        <w:ind w:hanging="0" w:start="0"/>
        <w:jc w:val="both"/>
        <w:rPr/>
      </w:pPr>
      <w:r>
        <w:rPr/>
      </w:r>
    </w:p>
    <w:p>
      <w:pPr>
        <w:pStyle w:val="Heading2"/>
        <w:ind w:hanging="0" w:start="0"/>
        <w:rPr/>
      </w:pPr>
      <w:r>
        <w:rPr/>
      </w:r>
    </w:p>
    <w:p>
      <w:pPr>
        <w:pStyle w:val="Heading2"/>
        <w:ind w:hanging="0" w:start="0"/>
        <w:rPr/>
      </w:pPr>
      <w:r>
        <w:rPr/>
      </w:r>
      <w:r>
        <w:br w:type="page"/>
      </w:r>
    </w:p>
    <w:p>
      <w:pPr>
        <w:pStyle w:val="Heading2"/>
        <w:ind w:hanging="0" w:start="0"/>
        <w:jc w:val="both"/>
        <w:rPr/>
      </w:pPr>
      <w:r>
        <w:rPr/>
        <w:t>Appendix 1: Enron Corp Policies for Commodity Trading Assets and Liabilities</w:t>
      </w:r>
    </w:p>
    <w:p>
      <w:pPr>
        <w:pStyle w:val="Normal"/>
        <w:rPr/>
      </w:pPr>
      <w:r>
        <w:rPr/>
      </w:r>
    </w:p>
    <w:p>
      <w:pPr>
        <w:pStyle w:val="Heading1"/>
        <w:ind w:hanging="0" w:start="0"/>
        <w:rPr/>
      </w:pPr>
      <w:r>
        <w:rPr/>
        <w:t>FX</w:t>
      </w:r>
    </w:p>
    <w:p>
      <w:pPr>
        <w:pStyle w:val="Normal"/>
        <w:rPr/>
      </w:pPr>
      <w:r>
        <w:rPr/>
      </w:r>
    </w:p>
    <w:p>
      <w:pPr>
        <w:pStyle w:val="Normal"/>
        <w:jc w:val="both"/>
        <w:rPr/>
      </w:pPr>
      <w:r>
        <w:rPr/>
        <w:t>Foreign exchange exposure related to the commodity trading assets and liabilities (i.e. assets/liabilities that are carried in the price risk management section of the balance sheet) is to be fully hedged with ECT, where possible. The foreign exchange exposure and related hedges are to be valued on a daily basis by the business unit as part of the commodity portfolio valuation and forwarded to ECM. All daily position reports are to be forwarded to ECM on a daily basis.</w:t>
      </w:r>
    </w:p>
    <w:p>
      <w:pPr>
        <w:pStyle w:val="Normal"/>
        <w:jc w:val="both"/>
        <w:rPr/>
      </w:pPr>
      <w:r>
        <w:rPr/>
      </w:r>
    </w:p>
    <w:p>
      <w:pPr>
        <w:pStyle w:val="Heading1"/>
        <w:ind w:hanging="0" w:start="0"/>
        <w:jc w:val="both"/>
        <w:rPr/>
      </w:pPr>
      <w:r>
        <w:rPr/>
        <w:t>Interest Rate</w:t>
      </w:r>
    </w:p>
    <w:p>
      <w:pPr>
        <w:pStyle w:val="Normal"/>
        <w:jc w:val="both"/>
        <w:rPr/>
      </w:pPr>
      <w:r>
        <w:rPr/>
      </w:r>
    </w:p>
    <w:p>
      <w:pPr>
        <w:pStyle w:val="Normal"/>
        <w:jc w:val="both"/>
        <w:rPr/>
      </w:pPr>
      <w:r>
        <w:rPr/>
        <w:t>Direct interest rate exposure related to the commodity trading assets and liabilities (i.e. assets/liabilities that are carried in the price risk management section of the balance sheet) is to be fully hedged with ECT, where possible. The interest rate exposure and related hedges are to be valued on a daily basis by the business unit as part of its commodity portfolio valuation &amp; forwarded to ECM.</w:t>
      </w:r>
    </w:p>
    <w:p>
      <w:pPr>
        <w:pStyle w:val="Normal"/>
        <w:jc w:val="both"/>
        <w:rPr/>
      </w:pPr>
      <w:r>
        <w:rPr/>
      </w:r>
    </w:p>
    <w:p>
      <w:pPr>
        <w:pStyle w:val="Normal"/>
        <w:jc w:val="both"/>
        <w:rPr/>
      </w:pPr>
      <w:r>
        <w:rPr/>
      </w:r>
    </w:p>
    <w:p>
      <w:pPr>
        <w:pStyle w:val="Heading1"/>
        <w:ind w:hanging="0" w:start="0"/>
        <w:jc w:val="both"/>
        <w:rPr/>
      </w:pPr>
      <w:r>
        <w:rPr/>
        <w:t>Exceptions</w:t>
      </w:r>
    </w:p>
    <w:p>
      <w:pPr>
        <w:pStyle w:val="Normal"/>
        <w:jc w:val="both"/>
        <w:rPr/>
      </w:pPr>
      <w:r>
        <w:rPr/>
      </w:r>
    </w:p>
    <w:p>
      <w:pPr>
        <w:pStyle w:val="Normal"/>
        <w:jc w:val="both"/>
        <w:rPr/>
      </w:pPr>
      <w:r>
        <w:rPr/>
        <w:t>The office of the Chairman of Enron Corp must approve exceptions to this policy.</w:t>
      </w:r>
    </w:p>
    <w:p>
      <w:pPr>
        <w:pStyle w:val="Normal"/>
        <w:rPr/>
      </w:pPr>
      <w:r>
        <w:rPr/>
      </w:r>
    </w:p>
    <w:p>
      <w:pPr>
        <w:pStyle w:val="Normal"/>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color w:val="000000"/>
      </w:rPr>
    </w:lvl>
  </w:abstractNum>
  <w:abstractNum w:abstractNumId="4">
    <w:lvl w:ilvl="0">
      <w:start w:val="1"/>
      <w:numFmt w:val="bullet"/>
      <w:lvlText w:val=""/>
      <w:lvlJc w:val="start"/>
      <w:pPr>
        <w:tabs>
          <w:tab w:val="num" w:pos="360"/>
        </w:tabs>
        <w:ind w:start="360" w:hanging="360"/>
      </w:pPr>
      <w:rPr>
        <w:rFonts w:ascii="Symbol" w:hAnsi="Symbol" w:cs="Symbol" w:hint="default"/>
        <w:color w:val="000000"/>
      </w:rPr>
    </w:lvl>
  </w:abstractNum>
  <w:abstractNum w:abstractNumId="5">
    <w:lvl w:ilvl="0">
      <w:start w:val="1"/>
      <w:numFmt w:val="bullet"/>
      <w:lvlText w:val=""/>
      <w:lvlJc w:val="start"/>
      <w:pPr>
        <w:tabs>
          <w:tab w:val="num" w:pos="360"/>
        </w:tabs>
        <w:ind w:start="360" w:hanging="360"/>
      </w:pPr>
      <w:rPr>
        <w:rFonts w:ascii="Symbol" w:hAnsi="Symbol" w:cs="Symbol" w:hint="default"/>
        <w:color w:val="000000"/>
      </w:rPr>
    </w:lvl>
  </w:abstractNum>
  <w:abstractNum w:abstractNumId="6">
    <w:lvl w:ilvl="0">
      <w:start w:val="1"/>
      <w:numFmt w:val="bullet"/>
      <w:lvlText w:val=""/>
      <w:lvlJc w:val="start"/>
      <w:pPr>
        <w:tabs>
          <w:tab w:val="num" w:pos="360"/>
        </w:tabs>
        <w:ind w:start="360" w:hanging="360"/>
      </w:pPr>
      <w:rPr>
        <w:rFonts w:ascii="Symbol" w:hAnsi="Symbol" w:cs="Symbol" w:hint="default"/>
        <w:color w:val="000000"/>
      </w:rPr>
    </w:lvl>
  </w:abstractNum>
  <w:abstractNum w:abstractNumId="7">
    <w:lvl w:ilvl="0">
      <w:start w:val="1"/>
      <w:numFmt w:val="bullet"/>
      <w:lvlText w:val=""/>
      <w:lvlJc w:val="start"/>
      <w:pPr>
        <w:tabs>
          <w:tab w:val="num" w:pos="360"/>
        </w:tabs>
        <w:ind w:start="360" w:hanging="360"/>
      </w:pPr>
      <w:rPr>
        <w:rFonts w:ascii="Symbol" w:hAnsi="Symbol" w:cs="Symbol" w:hint="default"/>
        <w:color w:val="000000"/>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color w:val="000000"/>
      </w:rPr>
    </w:lvl>
  </w:abstractNum>
  <w:abstractNum w:abstractNumId="14">
    <w:lvl w:ilvl="0">
      <w:start w:val="1"/>
      <w:numFmt w:val="bullet"/>
      <w:lvlText w:val=""/>
      <w:lvlJc w:val="start"/>
      <w:pPr>
        <w:tabs>
          <w:tab w:val="num" w:pos="360"/>
        </w:tabs>
        <w:ind w:start="360" w:hanging="360"/>
      </w:pPr>
      <w:rPr>
        <w:rFonts w:ascii="Symbol" w:hAnsi="Symbol" w:cs="Symbol" w:hint="default"/>
        <w:color w:val="000000"/>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decimal"/>
      <w:lvlText w:val="%1."/>
      <w:lvlJc w:val="start"/>
      <w:pPr>
        <w:tabs>
          <w:tab w:val="num" w:pos="360"/>
        </w:tabs>
        <w:ind w:start="360" w:hanging="360"/>
      </w:pPr>
    </w:lvl>
  </w:abstractNum>
  <w:abstractNum w:abstractNumId="17">
    <w:lvl w:ilvl="0">
      <w:start w:val="1"/>
      <w:numFmt w:val="bullet"/>
      <w:lvlText w:val=""/>
      <w:lvlJc w:val="start"/>
      <w:pPr>
        <w:tabs>
          <w:tab w:val="num" w:pos="360"/>
        </w:tabs>
        <w:ind w:start="360" w:hanging="360"/>
      </w:pPr>
      <w:rPr>
        <w:rFonts w:ascii="Symbol" w:hAnsi="Symbol" w:cs="Symbol" w:hint="default"/>
        <w:color w:val="000000"/>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both"/>
      <w:outlineLvl w:val="3"/>
    </w:pPr>
    <w:rPr>
      <w:b/>
      <w:u w:val="single"/>
    </w:rPr>
  </w:style>
  <w:style w:type="paragraph" w:styleId="Heading5">
    <w:name w:val="heading 5"/>
    <w:basedOn w:val="Normal"/>
    <w:next w:val="Normal"/>
    <w:qFormat/>
    <w:pPr>
      <w:keepNext w:val="true"/>
      <w:numPr>
        <w:ilvl w:val="4"/>
        <w:numId w:val="1"/>
      </w:numPr>
      <w:jc w:val="both"/>
      <w:outlineLvl w:val="4"/>
    </w:pPr>
    <w:rPr>
      <w:b/>
    </w:rPr>
  </w:style>
  <w:style w:type="character" w:styleId="WW8Num1z0">
    <w:name w:val="WW8Num1z0"/>
    <w:qFormat/>
    <w:rPr>
      <w:rFonts w:ascii="Symbol" w:hAnsi="Symbol" w:cs="Symbol"/>
    </w:rPr>
  </w:style>
  <w:style w:type="character" w:styleId="WW8Num2z0">
    <w:name w:val="WW8Num2z0"/>
    <w:qFormat/>
    <w:rPr>
      <w:rFonts w:ascii="Symbol" w:hAnsi="Symbol" w:cs="Symbol"/>
      <w:color w:val="000000"/>
    </w:rPr>
  </w:style>
  <w:style w:type="character" w:styleId="WW8Num3z0">
    <w:name w:val="WW8Num3z0"/>
    <w:qFormat/>
    <w:rPr>
      <w:rFonts w:ascii="Symbol" w:hAnsi="Symbol" w:cs="Symbol"/>
      <w:color w:val="000000"/>
    </w:rPr>
  </w:style>
  <w:style w:type="character" w:styleId="WW8Num4z0">
    <w:name w:val="WW8Num4z0"/>
    <w:qFormat/>
    <w:rPr>
      <w:rFonts w:ascii="Symbol" w:hAnsi="Symbol" w:cs="Symbol"/>
      <w:color w:val="000000"/>
    </w:rPr>
  </w:style>
  <w:style w:type="character" w:styleId="WW8Num5z0">
    <w:name w:val="WW8Num5z0"/>
    <w:qFormat/>
    <w:rPr>
      <w:rFonts w:ascii="Symbol" w:hAnsi="Symbol" w:cs="Symbol"/>
      <w:color w:val="000000"/>
    </w:rPr>
  </w:style>
  <w:style w:type="character" w:styleId="WW8Num6z0">
    <w:name w:val="WW8Num6z0"/>
    <w:qFormat/>
    <w:rPr>
      <w:rFonts w:ascii="Symbol" w:hAnsi="Symbol" w:cs="Symbol"/>
    </w:rPr>
  </w:style>
  <w:style w:type="character" w:styleId="WW8Num7z0">
    <w:name w:val="WW8Num7z0"/>
    <w:qFormat/>
    <w:rPr>
      <w:rFonts w:ascii="Symbol" w:hAnsi="Symbol" w:cs="Symbol"/>
      <w:color w:val="000000"/>
    </w:rPr>
  </w:style>
  <w:style w:type="character" w:styleId="WW8Num8z0">
    <w:name w:val="WW8Num8z0"/>
    <w:qFormat/>
    <w:rPr>
      <w:rFonts w:ascii="Symbol" w:hAnsi="Symbol" w:cs="Symbol"/>
    </w:rPr>
  </w:style>
  <w:style w:type="character" w:styleId="WW8Num11z0">
    <w:name w:val="WW8Num11z0"/>
    <w:qFormat/>
    <w:rPr>
      <w:rFonts w:ascii="Symbol" w:hAnsi="Symbol" w:cs="Symbol"/>
      <w:color w:val="000000"/>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color w:val="000000"/>
    </w:rPr>
  </w:style>
  <w:style w:type="character" w:styleId="WW8Num16z0">
    <w:name w:val="WW8Num16z0"/>
    <w:qFormat/>
    <w:rPr>
      <w:rFonts w:ascii="Symbol" w:hAnsi="Symbol" w:cs="Symbol"/>
      <w:color w:val="000000"/>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sz w:val="20"/>
    </w:rPr>
  </w:style>
  <w:style w:type="character" w:styleId="WW8Num22z0">
    <w:name w:val="WW8Num22z0"/>
    <w:qFormat/>
    <w:rPr>
      <w:rFonts w:ascii="Symbol" w:hAnsi="Symbol" w:cs="Symbol"/>
    </w:rPr>
  </w:style>
  <w:style w:type="character" w:styleId="WW8Num23z0">
    <w:name w:val="WW8Num23z0"/>
    <w:qFormat/>
    <w:rPr>
      <w:rFonts w:ascii="Symbol" w:hAnsi="Symbol" w:cs="Symbol"/>
      <w:sz w:val="20"/>
    </w:rPr>
  </w:style>
  <w:style w:type="character" w:styleId="WW8Num24z0">
    <w:name w:val="WW8Num24z0"/>
    <w:qFormat/>
    <w:rPr>
      <w:rFonts w:ascii="Symbol" w:hAnsi="Symbol" w:cs="Symbol"/>
      <w:color w:val="000000"/>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2000-10-11T12:12:00Z</dcterms:created>
  <dc:creator>acornfie</dc:creator>
  <dc:description/>
  <dc:language>en-CA</dc:language>
  <cp:lastModifiedBy>ACornfie</cp:lastModifiedBy>
  <cp:lastPrinted>2000-10-19T15:40:00Z</cp:lastPrinted>
  <dcterms:modified xsi:type="dcterms:W3CDTF">2000-10-19T12:27:00Z</dcterms:modified>
  <cp:revision>60</cp:revision>
  <dc:subject/>
  <dc:title> </dc:title>
</cp:coreProperties>
</file>