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Authorised Traders for Enron Metals</w:t>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spacing w:before="0" w:after="60"/>
              <w:rPr>
                <w:sz w:val="16"/>
              </w:rPr>
            </w:pPr>
            <w:r>
              <w:rPr>
                <w:sz w:val="16"/>
              </w:rPr>
              <w:t>To:</w:t>
            </w:r>
          </w:p>
        </w:tc>
        <w:tc>
          <w:tcPr>
            <w:tcW w:w="6045" w:type="dxa"/>
            <w:tcBorders/>
          </w:tcPr>
          <w:p>
            <w:pPr>
              <w:pStyle w:val="To"/>
              <w:spacing w:before="0" w:after="60"/>
              <w:rPr/>
            </w:pPr>
            <w:r>
              <w:rPr/>
              <w:t xml:space="preserve">Rick Buy </w:t>
            </w:r>
          </w:p>
        </w:tc>
        <w:tc>
          <w:tcPr>
            <w:tcW w:w="990" w:type="dxa"/>
            <w:tcBorders/>
          </w:tcPr>
          <w:p>
            <w:pPr>
              <w:pStyle w:val="Normal"/>
              <w:snapToGrid w:val="false"/>
              <w:spacing w:before="0" w:after="60"/>
              <w:ind w:start="-180" w:end="0"/>
              <w:rPr/>
            </w:pPr>
            <w:r>
              <w:rPr/>
            </w:r>
          </w:p>
        </w:tc>
        <w:tc>
          <w:tcPr>
            <w:tcW w:w="2965" w:type="dxa"/>
            <w:tcBorders/>
          </w:tcPr>
          <w:p>
            <w:pPr>
              <w:pStyle w:val="Normal"/>
              <w:snapToGrid w:val="false"/>
              <w:spacing w:before="0" w:after="60"/>
              <w:rPr/>
            </w:pPr>
            <w:r>
              <w:rPr/>
            </w:r>
          </w:p>
        </w:tc>
      </w:tr>
      <w:tr>
        <w:trPr>
          <w:trHeight w:val="300" w:hRule="exact"/>
        </w:trPr>
        <w:tc>
          <w:tcPr>
            <w:tcW w:w="708" w:type="dxa"/>
            <w:tcBorders/>
          </w:tcPr>
          <w:p>
            <w:pPr>
              <w:pStyle w:val="Normal"/>
              <w:spacing w:before="0" w:after="60"/>
              <w:ind w:start="-180" w:end="0"/>
              <w:jc w:val="end"/>
              <w:rPr>
                <w:sz w:val="16"/>
              </w:rPr>
            </w:pPr>
            <w:r>
              <w:rPr>
                <w:sz w:val="16"/>
              </w:rPr>
              <w:t>From:</w:t>
            </w:r>
          </w:p>
        </w:tc>
        <w:tc>
          <w:tcPr>
            <w:tcW w:w="6045" w:type="dxa"/>
            <w:tcBorders/>
          </w:tcPr>
          <w:p>
            <w:pPr>
              <w:pStyle w:val="From"/>
              <w:spacing w:before="0" w:after="60"/>
              <w:rPr/>
            </w:pPr>
            <w:r>
              <w:rPr/>
              <w:t>Joe Gold</w:t>
            </w:r>
          </w:p>
        </w:tc>
        <w:tc>
          <w:tcPr>
            <w:tcW w:w="990" w:type="dxa"/>
            <w:tcBorders/>
          </w:tcPr>
          <w:p>
            <w:pPr>
              <w:pStyle w:val="Normal"/>
              <w:spacing w:before="0" w:after="60"/>
              <w:ind w:start="-180" w:end="0"/>
              <w:jc w:val="end"/>
              <w:rPr>
                <w:sz w:val="16"/>
              </w:rPr>
            </w:pPr>
            <w:r>
              <w:rPr>
                <w:sz w:val="16"/>
              </w:rPr>
              <w:t>Department:</w:t>
            </w:r>
          </w:p>
        </w:tc>
        <w:tc>
          <w:tcPr>
            <w:tcW w:w="2965" w:type="dxa"/>
            <w:tcBorders/>
          </w:tcPr>
          <w:p>
            <w:pPr>
              <w:pStyle w:val="Department"/>
              <w:spacing w:before="0" w:after="60"/>
              <w:rPr/>
            </w:pPr>
            <w:r>
              <w:rPr/>
              <w:t>Risk Management and Trading</w:t>
            </w:r>
          </w:p>
        </w:tc>
      </w:tr>
      <w:tr>
        <w:trPr>
          <w:trHeight w:val="360" w:hRule="exact"/>
        </w:trPr>
        <w:tc>
          <w:tcPr>
            <w:tcW w:w="708" w:type="dxa"/>
            <w:tcBorders>
              <w:bottom w:val="single" w:sz="12" w:space="0" w:color="000000"/>
            </w:tcBorders>
          </w:tcPr>
          <w:p>
            <w:pPr>
              <w:pStyle w:val="Normal"/>
              <w:spacing w:before="0" w:after="60"/>
              <w:ind w:start="-180" w:end="0"/>
              <w:jc w:val="end"/>
              <w:rPr>
                <w:sz w:val="16"/>
              </w:rPr>
            </w:pPr>
            <w:r>
              <w:rPr>
                <w:sz w:val="16"/>
              </w:rPr>
              <w:t>Subject:</w:t>
            </w:r>
          </w:p>
        </w:tc>
        <w:tc>
          <w:tcPr>
            <w:tcW w:w="6045" w:type="dxa"/>
            <w:tcBorders>
              <w:bottom w:val="single" w:sz="12" w:space="0" w:color="000000"/>
            </w:tcBorders>
          </w:tcPr>
          <w:p>
            <w:pPr>
              <w:pStyle w:val="Subject"/>
              <w:spacing w:before="0" w:after="60"/>
              <w:rPr/>
            </w:pPr>
            <w:r>
              <w:rPr/>
              <w:t>Authorized Traders: FX for Metals cash management</w:t>
              <w:br/>
            </w:r>
          </w:p>
          <w:p>
            <w:pPr>
              <w:pStyle w:val="Subject"/>
              <w:spacing w:before="0" w:after="60"/>
              <w:rPr/>
            </w:pPr>
            <w:r>
              <w:rPr/>
            </w:r>
          </w:p>
        </w:tc>
        <w:tc>
          <w:tcPr>
            <w:tcW w:w="990" w:type="dxa"/>
            <w:tcBorders>
              <w:bottom w:val="single" w:sz="12" w:space="0" w:color="000000"/>
            </w:tcBorders>
          </w:tcPr>
          <w:p>
            <w:pPr>
              <w:pStyle w:val="Normal"/>
              <w:spacing w:before="0" w:after="60"/>
              <w:ind w:start="-180" w:end="0"/>
              <w:jc w:val="end"/>
              <w:rPr>
                <w:sz w:val="16"/>
              </w:rPr>
            </w:pPr>
            <w:r>
              <w:rPr>
                <w:sz w:val="16"/>
              </w:rPr>
              <w:t>Date:</w:t>
            </w:r>
          </w:p>
        </w:tc>
        <w:tc>
          <w:tcPr>
            <w:tcW w:w="2965" w:type="dxa"/>
            <w:tcBorders>
              <w:bottom w:val="single" w:sz="12" w:space="0" w:color="000000"/>
            </w:tcBorders>
          </w:tcPr>
          <w:p>
            <w:pPr>
              <w:pStyle w:val="Date"/>
              <w:spacing w:before="0" w:after="60"/>
              <w:rPr/>
            </w:pPr>
            <w:r>
              <w:rPr/>
              <w:t>6</w:t>
            </w:r>
            <w:r>
              <w:rPr>
                <w:vertAlign w:val="superscript"/>
              </w:rPr>
              <w:t>th</w:t>
            </w:r>
            <w:r>
              <w:rPr/>
              <w:t xml:space="preserve"> February, 2001</w:t>
            </w:r>
          </w:p>
        </w:tc>
      </w:tr>
    </w:tbl>
    <w:p>
      <w:pPr>
        <w:pStyle w:val="Body"/>
        <w:rPr>
          <w:sz w:val="12"/>
        </w:rPr>
      </w:pPr>
      <w:r>
        <w:rPr>
          <w:sz w:val="12"/>
        </w:rPr>
      </w:r>
      <w:bookmarkStart w:id="0" w:name="StartOfMemo"/>
      <w:bookmarkStart w:id="1" w:name="StartOfMemo"/>
      <w:bookmarkEnd w:id="1"/>
    </w:p>
    <w:p>
      <w:pPr>
        <w:pStyle w:val="Department"/>
        <w:jc w:val="both"/>
        <w:rPr/>
      </w:pPr>
      <w:r>
        <w:rPr/>
        <w:t>In accordance with the Enron Corp. Risk Management and Trading Policy, I hereby submit for your approval the additional following traders to be responsible for direct FX trading on behalf of Enron metals &amp; accountable for the policy as it relates to their businesses.    They are listed as follows:-</w:t>
      </w:r>
    </w:p>
    <w:p>
      <w:pPr>
        <w:pStyle w:val="Department"/>
        <w:rPr/>
      </w:pPr>
      <w:r>
        <w:rPr/>
      </w:r>
    </w:p>
    <w:tbl>
      <w:tblPr>
        <w:tblW w:w="10314" w:type="dxa"/>
        <w:jc w:val="start"/>
        <w:tblInd w:w="0" w:type="dxa"/>
        <w:tblLayout w:type="fixed"/>
        <w:tblCellMar>
          <w:top w:w="0" w:type="dxa"/>
          <w:start w:w="108" w:type="dxa"/>
          <w:bottom w:w="0" w:type="dxa"/>
          <w:end w:w="108" w:type="dxa"/>
        </w:tblCellMar>
      </w:tblPr>
      <w:tblGrid>
        <w:gridCol w:w="1289"/>
        <w:gridCol w:w="1289"/>
        <w:gridCol w:w="1074"/>
        <w:gridCol w:w="215"/>
        <w:gridCol w:w="737"/>
        <w:gridCol w:w="236"/>
        <w:gridCol w:w="317"/>
        <w:gridCol w:w="1289"/>
        <w:gridCol w:w="797"/>
        <w:gridCol w:w="236"/>
        <w:gridCol w:w="256"/>
        <w:gridCol w:w="1289"/>
        <w:gridCol w:w="1054"/>
        <w:gridCol w:w="236"/>
      </w:tblGrid>
      <w:tr>
        <w:trPr/>
        <w:tc>
          <w:tcPr>
            <w:tcW w:w="3652" w:type="dxa"/>
            <w:gridSpan w:val="3"/>
            <w:tcBorders/>
          </w:tcPr>
          <w:p>
            <w:pPr>
              <w:pStyle w:val="Department"/>
              <w:snapToGrid w:val="false"/>
              <w:rPr>
                <w:b/>
                <w:i/>
                <w:i/>
              </w:rPr>
            </w:pPr>
            <w:r>
              <w:rPr>
                <w:b/>
                <w:i/>
              </w:rPr>
            </w:r>
          </w:p>
        </w:tc>
        <w:tc>
          <w:tcPr>
            <w:tcW w:w="1188" w:type="dxa"/>
            <w:gridSpan w:val="3"/>
            <w:tcBorders/>
          </w:tcPr>
          <w:p>
            <w:pPr>
              <w:pStyle w:val="Department"/>
              <w:snapToGrid w:val="false"/>
              <w:rPr>
                <w:b/>
                <w:i/>
                <w:i/>
              </w:rPr>
            </w:pPr>
            <w:r>
              <w:rPr>
                <w:b/>
                <w:i/>
              </w:rPr>
            </w:r>
          </w:p>
        </w:tc>
        <w:tc>
          <w:tcPr>
            <w:tcW w:w="2639" w:type="dxa"/>
            <w:gridSpan w:val="4"/>
            <w:tcBorders/>
          </w:tcPr>
          <w:p>
            <w:pPr>
              <w:pStyle w:val="Department"/>
              <w:snapToGrid w:val="false"/>
              <w:rPr>
                <w:b/>
                <w:i/>
                <w:i/>
              </w:rPr>
            </w:pPr>
            <w:r>
              <w:rPr>
                <w:b/>
                <w:i/>
              </w:rPr>
            </w:r>
          </w:p>
        </w:tc>
        <w:tc>
          <w:tcPr>
            <w:tcW w:w="2835" w:type="dxa"/>
            <w:gridSpan w:val="4"/>
            <w:tcBorders/>
          </w:tcPr>
          <w:p>
            <w:pPr>
              <w:pStyle w:val="Department"/>
              <w:snapToGrid w:val="false"/>
              <w:rPr>
                <w:b/>
                <w:i/>
                <w:i/>
              </w:rPr>
            </w:pPr>
            <w:r>
              <w:rPr>
                <w:b/>
                <w:i/>
              </w:rPr>
            </w:r>
          </w:p>
          <w:p>
            <w:pPr>
              <w:pStyle w:val="Department"/>
              <w:rPr>
                <w:b/>
                <w:i/>
                <w:i/>
              </w:rPr>
            </w:pPr>
            <w:r>
              <w:rPr>
                <w:b/>
                <w:i/>
              </w:rPr>
            </w:r>
          </w:p>
        </w:tc>
      </w:tr>
      <w:tr>
        <w:trPr/>
        <w:tc>
          <w:tcPr>
            <w:tcW w:w="3652" w:type="dxa"/>
            <w:gridSpan w:val="3"/>
            <w:tcBorders/>
          </w:tcPr>
          <w:p>
            <w:pPr>
              <w:pStyle w:val="Department"/>
              <w:rPr>
                <w:b/>
                <w:i/>
                <w:i/>
                <w:u w:val="single"/>
              </w:rPr>
            </w:pPr>
            <w:r>
              <w:rPr>
                <w:b/>
                <w:i/>
                <w:u w:val="single"/>
              </w:rPr>
              <w:t>Enron Fx Desk</w:t>
            </w:r>
          </w:p>
        </w:tc>
        <w:tc>
          <w:tcPr>
            <w:tcW w:w="1188" w:type="dxa"/>
            <w:gridSpan w:val="3"/>
            <w:tcBorders/>
          </w:tcPr>
          <w:p>
            <w:pPr>
              <w:pStyle w:val="Department"/>
              <w:rPr>
                <w:b/>
                <w:i/>
                <w:i/>
              </w:rPr>
            </w:pPr>
            <w:r>
              <w:rPr>
                <w:b/>
                <w:i/>
              </w:rPr>
              <w:t>Location</w:t>
            </w:r>
          </w:p>
        </w:tc>
        <w:tc>
          <w:tcPr>
            <w:tcW w:w="2639" w:type="dxa"/>
            <w:gridSpan w:val="4"/>
            <w:tcBorders/>
          </w:tcPr>
          <w:p>
            <w:pPr>
              <w:pStyle w:val="Department"/>
              <w:rPr>
                <w:b/>
                <w:i/>
                <w:i/>
              </w:rPr>
            </w:pPr>
            <w:r>
              <w:rPr>
                <w:b/>
                <w:i/>
              </w:rPr>
              <w:t>FX  trading</w:t>
            </w:r>
          </w:p>
          <w:p>
            <w:pPr>
              <w:pStyle w:val="Department"/>
              <w:rPr>
                <w:b/>
                <w:i/>
                <w:i/>
              </w:rPr>
            </w:pPr>
            <w:r>
              <w:rPr>
                <w:b/>
                <w:i/>
              </w:rPr>
            </w:r>
          </w:p>
        </w:tc>
        <w:tc>
          <w:tcPr>
            <w:tcW w:w="2835" w:type="dxa"/>
            <w:gridSpan w:val="4"/>
            <w:tcBorders/>
          </w:tcPr>
          <w:p>
            <w:pPr>
              <w:pStyle w:val="Department"/>
              <w:snapToGrid w:val="false"/>
              <w:rPr>
                <w:b/>
                <w:i/>
                <w:i/>
              </w:rPr>
            </w:pPr>
            <w:r>
              <w:rPr>
                <w:b/>
                <w:i/>
              </w:rPr>
            </w:r>
          </w:p>
        </w:tc>
      </w:tr>
      <w:tr>
        <w:trPr/>
        <w:tc>
          <w:tcPr>
            <w:tcW w:w="3652" w:type="dxa"/>
            <w:gridSpan w:val="3"/>
            <w:tcBorders/>
          </w:tcPr>
          <w:p>
            <w:pPr>
              <w:pStyle w:val="Department"/>
              <w:rPr/>
            </w:pPr>
            <w:r>
              <w:rPr/>
              <w:t>Shane Dallmann</w:t>
            </w:r>
          </w:p>
        </w:tc>
        <w:tc>
          <w:tcPr>
            <w:tcW w:w="1188" w:type="dxa"/>
            <w:gridSpan w:val="3"/>
            <w:tcBorders/>
          </w:tcPr>
          <w:p>
            <w:pPr>
              <w:pStyle w:val="Department"/>
              <w:rPr/>
            </w:pPr>
            <w:r>
              <w:rPr/>
              <w:t>London</w:t>
            </w:r>
          </w:p>
        </w:tc>
        <w:tc>
          <w:tcPr>
            <w:tcW w:w="2639" w:type="dxa"/>
            <w:gridSpan w:val="4"/>
            <w:tcBorders/>
          </w:tcPr>
          <w:p>
            <w:pPr>
              <w:pStyle w:val="Department"/>
              <w:rPr/>
            </w:pPr>
            <w:r>
              <w:rPr/>
              <w:t>All currencies</w:t>
            </w:r>
          </w:p>
        </w:tc>
        <w:tc>
          <w:tcPr>
            <w:tcW w:w="2835" w:type="dxa"/>
            <w:gridSpan w:val="4"/>
            <w:tcBorders/>
          </w:tcPr>
          <w:p>
            <w:pPr>
              <w:pStyle w:val="Department"/>
              <w:snapToGrid w:val="false"/>
              <w:rPr/>
            </w:pPr>
            <w:r>
              <w:rPr/>
            </w:r>
          </w:p>
        </w:tc>
      </w:tr>
      <w:tr>
        <w:trPr/>
        <w:tc>
          <w:tcPr>
            <w:tcW w:w="3652" w:type="dxa"/>
            <w:gridSpan w:val="3"/>
            <w:tcBorders/>
          </w:tcPr>
          <w:p>
            <w:pPr>
              <w:pStyle w:val="Department"/>
              <w:rPr/>
            </w:pPr>
            <w:r>
              <w:rPr/>
              <w:t>Jurgen Hess</w:t>
            </w:r>
          </w:p>
        </w:tc>
        <w:tc>
          <w:tcPr>
            <w:tcW w:w="1188" w:type="dxa"/>
            <w:gridSpan w:val="3"/>
            <w:tcBorders/>
          </w:tcPr>
          <w:p>
            <w:pPr>
              <w:pStyle w:val="Department"/>
              <w:rPr/>
            </w:pPr>
            <w:r>
              <w:rPr/>
              <w:t>London</w:t>
            </w:r>
          </w:p>
        </w:tc>
        <w:tc>
          <w:tcPr>
            <w:tcW w:w="2639" w:type="dxa"/>
            <w:gridSpan w:val="4"/>
            <w:tcBorders/>
          </w:tcPr>
          <w:p>
            <w:pPr>
              <w:pStyle w:val="Department"/>
              <w:rPr/>
            </w:pPr>
            <w:r>
              <w:rPr/>
              <w:t>All currencies</w:t>
            </w:r>
          </w:p>
        </w:tc>
        <w:tc>
          <w:tcPr>
            <w:tcW w:w="2835" w:type="dxa"/>
            <w:gridSpan w:val="4"/>
            <w:tcBorders/>
          </w:tcPr>
          <w:p>
            <w:pPr>
              <w:pStyle w:val="Department"/>
              <w:snapToGrid w:val="false"/>
              <w:rPr/>
            </w:pPr>
            <w:r>
              <w:rPr/>
            </w:r>
          </w:p>
        </w:tc>
      </w:tr>
      <w:tr>
        <w:trPr/>
        <w:tc>
          <w:tcPr>
            <w:tcW w:w="3652" w:type="dxa"/>
            <w:gridSpan w:val="3"/>
            <w:tcBorders/>
          </w:tcPr>
          <w:p>
            <w:pPr>
              <w:pStyle w:val="Department"/>
              <w:rPr/>
            </w:pPr>
            <w:r>
              <w:rPr/>
              <w:t>Aaron Armstrong</w:t>
            </w:r>
          </w:p>
        </w:tc>
        <w:tc>
          <w:tcPr>
            <w:tcW w:w="1188" w:type="dxa"/>
            <w:gridSpan w:val="3"/>
            <w:tcBorders/>
          </w:tcPr>
          <w:p>
            <w:pPr>
              <w:pStyle w:val="Department"/>
              <w:rPr/>
            </w:pPr>
            <w:r>
              <w:rPr/>
              <w:t>London</w:t>
            </w:r>
          </w:p>
        </w:tc>
        <w:tc>
          <w:tcPr>
            <w:tcW w:w="2639" w:type="dxa"/>
            <w:gridSpan w:val="4"/>
            <w:tcBorders/>
          </w:tcPr>
          <w:p>
            <w:pPr>
              <w:pStyle w:val="Department"/>
              <w:rPr/>
            </w:pPr>
            <w:r>
              <w:rPr/>
              <w:t>All currencies</w:t>
            </w:r>
          </w:p>
        </w:tc>
        <w:tc>
          <w:tcPr>
            <w:tcW w:w="2835" w:type="dxa"/>
            <w:gridSpan w:val="4"/>
            <w:tcBorders/>
          </w:tcPr>
          <w:p>
            <w:pPr>
              <w:pStyle w:val="Department"/>
              <w:snapToGrid w:val="false"/>
              <w:rPr/>
            </w:pPr>
            <w:r>
              <w:rPr/>
            </w:r>
          </w:p>
        </w:tc>
      </w:tr>
      <w:tr>
        <w:trPr>
          <w:trHeight w:val="225" w:hRule="atLeast"/>
        </w:trPr>
        <w:tc>
          <w:tcPr>
            <w:tcW w:w="1289" w:type="dxa"/>
            <w:tcBorders/>
          </w:tcPr>
          <w:p>
            <w:pPr>
              <w:pStyle w:val="Department"/>
              <w:snapToGrid w:val="false"/>
              <w:rPr/>
            </w:pPr>
            <w:r>
              <w:rPr/>
            </w:r>
          </w:p>
        </w:tc>
        <w:tc>
          <w:tcPr>
            <w:tcW w:w="1289" w:type="dxa"/>
            <w:tcBorders/>
          </w:tcPr>
          <w:p>
            <w:pPr>
              <w:pStyle w:val="Department"/>
              <w:snapToGrid w:val="false"/>
              <w:rPr/>
            </w:pPr>
            <w:r>
              <w:rPr/>
            </w:r>
          </w:p>
        </w:tc>
        <w:tc>
          <w:tcPr>
            <w:tcW w:w="1289" w:type="dxa"/>
            <w:gridSpan w:val="2"/>
            <w:tcBorders/>
          </w:tcPr>
          <w:p>
            <w:pPr>
              <w:pStyle w:val="Department"/>
              <w:snapToGrid w:val="false"/>
              <w:rPr/>
            </w:pPr>
            <w:r>
              <w:rPr/>
            </w:r>
          </w:p>
        </w:tc>
        <w:tc>
          <w:tcPr>
            <w:tcW w:w="1290" w:type="dxa"/>
            <w:gridSpan w:val="3"/>
            <w:tcBorders/>
          </w:tcPr>
          <w:p>
            <w:pPr>
              <w:pStyle w:val="Department"/>
              <w:snapToGrid w:val="false"/>
              <w:rPr/>
            </w:pPr>
            <w:r>
              <w:rPr/>
            </w:r>
          </w:p>
        </w:tc>
        <w:tc>
          <w:tcPr>
            <w:tcW w:w="1289" w:type="dxa"/>
            <w:tcBorders/>
          </w:tcPr>
          <w:p>
            <w:pPr>
              <w:pStyle w:val="Department"/>
              <w:snapToGrid w:val="false"/>
              <w:rPr/>
            </w:pPr>
            <w:r>
              <w:rPr/>
            </w:r>
          </w:p>
        </w:tc>
        <w:tc>
          <w:tcPr>
            <w:tcW w:w="1289" w:type="dxa"/>
            <w:gridSpan w:val="3"/>
            <w:tcBorders/>
          </w:tcPr>
          <w:p>
            <w:pPr>
              <w:pStyle w:val="Department"/>
              <w:snapToGrid w:val="false"/>
              <w:rPr/>
            </w:pPr>
            <w:r>
              <w:rPr/>
            </w:r>
          </w:p>
        </w:tc>
        <w:tc>
          <w:tcPr>
            <w:tcW w:w="1289" w:type="dxa"/>
            <w:tcBorders/>
          </w:tcPr>
          <w:p>
            <w:pPr>
              <w:pStyle w:val="Department"/>
              <w:snapToGrid w:val="false"/>
              <w:rPr/>
            </w:pPr>
            <w:r>
              <w:rPr/>
            </w:r>
          </w:p>
        </w:tc>
        <w:tc>
          <w:tcPr>
            <w:tcW w:w="1290" w:type="dxa"/>
            <w:gridSpan w:val="2"/>
            <w:tcBorders/>
          </w:tcPr>
          <w:p>
            <w:pPr>
              <w:pStyle w:val="Department"/>
              <w:snapToGrid w:val="false"/>
              <w:rPr/>
            </w:pPr>
            <w:r>
              <w:rPr/>
            </w:r>
          </w:p>
        </w:tc>
      </w:tr>
      <w:tr>
        <w:trPr>
          <w:trHeight w:val="224" w:hRule="atLeast"/>
        </w:trPr>
        <w:tc>
          <w:tcPr>
            <w:tcW w:w="1289" w:type="dxa"/>
            <w:tcBorders/>
          </w:tcPr>
          <w:p>
            <w:pPr>
              <w:pStyle w:val="Department"/>
              <w:snapToGrid w:val="false"/>
              <w:rPr/>
            </w:pPr>
            <w:r>
              <w:rPr/>
            </w:r>
          </w:p>
        </w:tc>
        <w:tc>
          <w:tcPr>
            <w:tcW w:w="1289" w:type="dxa"/>
            <w:tcBorders/>
          </w:tcPr>
          <w:p>
            <w:pPr>
              <w:pStyle w:val="Department"/>
              <w:snapToGrid w:val="false"/>
              <w:rPr/>
            </w:pPr>
            <w:r>
              <w:rPr/>
            </w:r>
          </w:p>
        </w:tc>
        <w:tc>
          <w:tcPr>
            <w:tcW w:w="1289" w:type="dxa"/>
            <w:gridSpan w:val="2"/>
            <w:tcBorders/>
          </w:tcPr>
          <w:p>
            <w:pPr>
              <w:pStyle w:val="Department"/>
              <w:snapToGrid w:val="false"/>
              <w:rPr/>
            </w:pPr>
            <w:r>
              <w:rPr/>
            </w:r>
          </w:p>
        </w:tc>
        <w:tc>
          <w:tcPr>
            <w:tcW w:w="1290" w:type="dxa"/>
            <w:gridSpan w:val="3"/>
            <w:tcBorders/>
          </w:tcPr>
          <w:p>
            <w:pPr>
              <w:pStyle w:val="Department"/>
              <w:snapToGrid w:val="false"/>
              <w:rPr/>
            </w:pPr>
            <w:r>
              <w:rPr/>
            </w:r>
          </w:p>
          <w:p>
            <w:pPr>
              <w:pStyle w:val="Department"/>
              <w:rPr/>
            </w:pPr>
            <w:r>
              <w:rPr/>
            </w:r>
          </w:p>
        </w:tc>
        <w:tc>
          <w:tcPr>
            <w:tcW w:w="1289" w:type="dxa"/>
            <w:tcBorders/>
          </w:tcPr>
          <w:p>
            <w:pPr>
              <w:pStyle w:val="Department"/>
              <w:snapToGrid w:val="false"/>
              <w:rPr/>
            </w:pPr>
            <w:r>
              <w:rPr/>
            </w:r>
          </w:p>
        </w:tc>
        <w:tc>
          <w:tcPr>
            <w:tcW w:w="1289" w:type="dxa"/>
            <w:gridSpan w:val="3"/>
            <w:tcBorders/>
          </w:tcPr>
          <w:p>
            <w:pPr>
              <w:pStyle w:val="Department"/>
              <w:snapToGrid w:val="false"/>
              <w:rPr/>
            </w:pPr>
            <w:r>
              <w:rPr/>
            </w:r>
          </w:p>
        </w:tc>
        <w:tc>
          <w:tcPr>
            <w:tcW w:w="1289" w:type="dxa"/>
            <w:tcBorders/>
          </w:tcPr>
          <w:p>
            <w:pPr>
              <w:pStyle w:val="Department"/>
              <w:snapToGrid w:val="false"/>
              <w:rPr/>
            </w:pPr>
            <w:r>
              <w:rPr/>
            </w:r>
          </w:p>
        </w:tc>
        <w:tc>
          <w:tcPr>
            <w:tcW w:w="1290" w:type="dxa"/>
            <w:gridSpan w:val="2"/>
            <w:tcBorders/>
          </w:tcPr>
          <w:p>
            <w:pPr>
              <w:pStyle w:val="Department"/>
              <w:snapToGrid w:val="false"/>
              <w:rPr/>
            </w:pPr>
            <w:r>
              <w:rPr/>
            </w:r>
          </w:p>
        </w:tc>
      </w:tr>
      <w:tr>
        <w:trPr>
          <w:trHeight w:val="90" w:hRule="atLeast"/>
        </w:trPr>
        <w:tc>
          <w:tcPr>
            <w:tcW w:w="4604" w:type="dxa"/>
            <w:gridSpan w:val="5"/>
            <w:tcBorders/>
          </w:tcPr>
          <w:p>
            <w:pPr>
              <w:pStyle w:val="Department"/>
              <w:jc w:val="both"/>
              <w:rPr/>
            </w:pPr>
            <w:r>
              <w:rPr/>
              <w:t>The ability of the above traders from the central FX desk to trade directly with Citibank on behalf on Enron metals is required to meet settlement deadlines for cash management. Details of this are can be found in the attached memo.</w:t>
            </w:r>
          </w:p>
        </w:tc>
        <w:tc>
          <w:tcPr>
            <w:tcW w:w="2639" w:type="dxa"/>
            <w:gridSpan w:val="4"/>
            <w:tcBorders/>
          </w:tcPr>
          <w:p>
            <w:pPr>
              <w:pStyle w:val="Department"/>
              <w:snapToGrid w:val="false"/>
              <w:rPr/>
            </w:pPr>
            <w:r>
              <w:rPr/>
            </w:r>
          </w:p>
        </w:tc>
        <w:tc>
          <w:tcPr>
            <w:tcW w:w="2835" w:type="dxa"/>
            <w:gridSpan w:val="4"/>
            <w:tcBorders/>
          </w:tcPr>
          <w:p>
            <w:pPr>
              <w:pStyle w:val="Department"/>
              <w:snapToGrid w:val="false"/>
              <w:rPr/>
            </w:pPr>
            <w:r>
              <w:rPr/>
            </w:r>
          </w:p>
        </w:tc>
        <w:tc>
          <w:tcPr>
            <w:tcW w:w="236" w:type="dxa"/>
            <w:tcBorders/>
            <w:tcMar>
              <w:start w:w="0" w:type="dxa"/>
              <w:end w:w="0" w:type="dxa"/>
            </w:tcMar>
          </w:tcPr>
          <w:p>
            <w:pPr>
              <w:pStyle w:val="Normal"/>
              <w:snapToGrid w:val="false"/>
              <w:rPr/>
            </w:pPr>
            <w:r>
              <w:rPr/>
            </w:r>
          </w:p>
        </w:tc>
      </w:tr>
      <w:tr>
        <w:trPr>
          <w:trHeight w:val="360" w:hRule="atLeast"/>
        </w:trPr>
        <w:tc>
          <w:tcPr>
            <w:tcW w:w="3652" w:type="dxa"/>
            <w:gridSpan w:val="3"/>
            <w:tcBorders/>
          </w:tcPr>
          <w:p>
            <w:pPr>
              <w:pStyle w:val="Department"/>
              <w:snapToGrid w:val="false"/>
              <w:rPr/>
            </w:pPr>
            <w:r>
              <w:rPr/>
            </w:r>
          </w:p>
        </w:tc>
        <w:tc>
          <w:tcPr>
            <w:tcW w:w="1188" w:type="dxa"/>
            <w:gridSpan w:val="3"/>
            <w:tcBorders/>
          </w:tcPr>
          <w:p>
            <w:pPr>
              <w:pStyle w:val="Department"/>
              <w:snapToGrid w:val="false"/>
              <w:rPr/>
            </w:pPr>
            <w:r>
              <w:rPr/>
            </w:r>
          </w:p>
        </w:tc>
        <w:tc>
          <w:tcPr>
            <w:tcW w:w="2639" w:type="dxa"/>
            <w:gridSpan w:val="4"/>
            <w:tcBorders/>
          </w:tcPr>
          <w:p>
            <w:pPr>
              <w:pStyle w:val="Department"/>
              <w:snapToGrid w:val="false"/>
              <w:rPr/>
            </w:pPr>
            <w:r>
              <w:rPr/>
            </w:r>
          </w:p>
        </w:tc>
        <w:tc>
          <w:tcPr>
            <w:tcW w:w="2835" w:type="dxa"/>
            <w:gridSpan w:val="4"/>
            <w:tcBorders/>
          </w:tcPr>
          <w:p>
            <w:pPr>
              <w:pStyle w:val="Department"/>
              <w:snapToGrid w:val="false"/>
              <w:rPr/>
            </w:pPr>
            <w:r>
              <w:rPr/>
            </w:r>
          </w:p>
          <w:p>
            <w:pPr>
              <w:pStyle w:val="Department"/>
              <w:rPr/>
            </w:pPr>
            <w:r>
              <w:rPr/>
            </w:r>
          </w:p>
        </w:tc>
      </w:tr>
    </w:tbl>
    <w:p>
      <w:pPr>
        <w:pStyle w:val="Normal"/>
        <w:rPr/>
      </w:pPr>
      <w:r>
        <w:rPr/>
      </w:r>
    </w:p>
    <w:p>
      <w:pPr>
        <w:pStyle w:val="Normal"/>
        <w:rPr>
          <w:u w:val="single"/>
        </w:rPr>
      </w:pPr>
      <w:r>
        <w:rPr>
          <w:u w:val="single"/>
        </w:rPr>
        <w:tab/>
        <w:tab/>
        <w:tab/>
        <w:tab/>
        <w:tab/>
        <w:tab/>
      </w:r>
    </w:p>
    <w:p>
      <w:pPr>
        <w:pStyle w:val="Normal"/>
        <w:rPr/>
      </w:pPr>
      <w:r>
        <w:rPr/>
        <w:t>Joe Gold</w:t>
      </w:r>
    </w:p>
    <w:p>
      <w:pPr>
        <w:pStyle w:val="Normal"/>
        <w:rPr/>
      </w:pPr>
      <w:r>
        <w:rPr/>
      </w:r>
    </w:p>
    <w:p>
      <w:pPr>
        <w:pStyle w:val="Normal"/>
        <w:rPr/>
      </w:pPr>
      <w:r>
        <w:rPr/>
        <w:t>President: Enron Metals</w:t>
      </w:r>
      <w:r>
        <w:br w:type="page"/>
      </w:r>
    </w:p>
    <w:p>
      <w:pPr>
        <w:pStyle w:val="Normal"/>
        <w:rPr/>
      </w:pPr>
      <w:r>
        <w:rPr/>
      </w:r>
    </w:p>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Andy Cornfield</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Esther Demetz</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2" w:name="From"/>
            <w:bookmarkEnd w:id="2"/>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Support for EML FX trading (‘late FX’) from London</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spacing w:lineRule="atLeast" w:line="240"/>
        <w:rPr>
          <w:rFonts w:ascii="Helv" w:hAnsi="Helv" w:cs="Helv"/>
          <w:color w:val="000000"/>
          <w:lang w:val="en-AU" w:eastAsia="en-US"/>
        </w:rPr>
      </w:pPr>
      <w:r>
        <w:rPr>
          <w:rFonts w:cs="Helv" w:ascii="Helv" w:hAnsi="Helv"/>
          <w:color w:val="000000"/>
          <w:lang w:val="en-AU" w:eastAsia="en-US"/>
        </w:rPr>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t>There are many FX trades done on behalf of EML. This memo only concerns those trades (swaps) which arise as a result of daily squaring of bank accounts. This is referred to as ‘late FX’.</w:t>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r>
    </w:p>
    <w:p>
      <w:pPr>
        <w:pStyle w:val="BodyText"/>
        <w:rPr/>
      </w:pPr>
      <w:r>
        <w:rPr/>
        <w:t xml:space="preserve">In London we square off cash positions daily, for 20 currency bank accounts. (Five principal currencies). It is very difficult to predict our position in advance and normally the amount that is needed is only known after payments and receipts for the day have been confirmed (c 1pm). </w:t>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t xml:space="preserve">Surplus or deficit positions are squared off by the FX trader in London via Enron North America. </w:t>
      </w:r>
    </w:p>
    <w:p>
      <w:pPr>
        <w:pStyle w:val="Normal"/>
        <w:spacing w:lineRule="atLeast" w:line="240"/>
        <w:rPr>
          <w:rFonts w:ascii="Helv" w:hAnsi="Helv" w:cs="Helv"/>
          <w:color w:val="000000"/>
          <w:lang w:val="en-AU" w:eastAsia="en-US"/>
        </w:rPr>
      </w:pPr>
      <w:r>
        <w:rPr>
          <w:rFonts w:cs="Helv" w:ascii="Helv" w:hAnsi="Helv"/>
          <w:color w:val="000000"/>
          <w:lang w:val="en-AU" w:eastAsia="en-US"/>
        </w:rPr>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t>Deals with ENA involve settlement via Houston. As Houston work to a different timeframe, there is very little time to agree cash amounts and ensure payments are made prior to bank deadlines. (For example STG cut off is 2pm London time, 8am Houston time; Euro is 3pm London time 9am Houston). Similarly if London is to pay currency to Houston then settlement instructions are required prior to London cut offs.</w:t>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t>It is virtually impossible for Houston to make payments to our London account prior to this cut off, on many occasions payments have been missed and on several occasions London have missed making payments to Houston because bank instructions have not been received in time.</w:t>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r>
    </w:p>
    <w:p>
      <w:pPr>
        <w:pStyle w:val="Normal"/>
        <w:spacing w:lineRule="atLeast" w:line="240"/>
        <w:jc w:val="both"/>
        <w:rPr>
          <w:rFonts w:ascii="Helv" w:hAnsi="Helv" w:cs="Helv"/>
          <w:color w:val="000000"/>
          <w:lang w:val="en-AU" w:eastAsia="en-US"/>
        </w:rPr>
      </w:pPr>
      <w:r>
        <w:rPr>
          <w:rFonts w:cs="Helv" w:ascii="Helv" w:hAnsi="Helv"/>
          <w:color w:val="000000"/>
          <w:lang w:val="en-AU" w:eastAsia="en-US"/>
        </w:rPr>
        <w:t>Trading directly with Citibank will allow a greater ‘window’ to confirm deals, agree net payments and confirm settlement instructions. This would result in greater accuracy of accounts and reduce the risk of overdrawn accounts or currency exposures. The process will work as follows:</w:t>
      </w:r>
    </w:p>
    <w:p>
      <w:pPr>
        <w:pStyle w:val="Normal"/>
        <w:spacing w:lineRule="atLeast" w:line="240"/>
        <w:rPr>
          <w:rFonts w:ascii="Helv" w:hAnsi="Helv" w:cs="Helv"/>
          <w:color w:val="000000"/>
          <w:lang w:val="en-AU" w:eastAsia="en-US"/>
        </w:rPr>
      </w:pPr>
      <w:r>
        <w:rPr>
          <w:rFonts w:cs="Helv" w:ascii="Helv" w:hAnsi="Helv"/>
          <w:color w:val="000000"/>
          <w:lang w:val="en-AU" w:eastAsia="en-US"/>
        </w:rPr>
      </w:r>
    </w:p>
    <w:p>
      <w:pPr>
        <w:pStyle w:val="Normal"/>
        <w:numPr>
          <w:ilvl w:val="0"/>
          <w:numId w:val="2"/>
        </w:numPr>
        <w:spacing w:lineRule="atLeast" w:line="240"/>
        <w:jc w:val="both"/>
        <w:rPr>
          <w:color w:val="000000"/>
          <w:lang w:val="en-AU" w:eastAsia="en-US"/>
        </w:rPr>
      </w:pPr>
      <w:r>
        <w:rPr>
          <w:color w:val="000000"/>
          <w:lang w:val="en-AU" w:eastAsia="en-US"/>
        </w:rPr>
        <w:t>Settlements provides to the FX desk the request to do the trades.</w:t>
      </w:r>
    </w:p>
    <w:p>
      <w:pPr>
        <w:pStyle w:val="Normal"/>
        <w:numPr>
          <w:ilvl w:val="0"/>
          <w:numId w:val="2"/>
        </w:numPr>
        <w:spacing w:lineRule="atLeast" w:line="240"/>
        <w:jc w:val="both"/>
        <w:rPr>
          <w:color w:val="000000"/>
          <w:lang w:val="en-AU" w:eastAsia="en-US"/>
        </w:rPr>
      </w:pPr>
      <w:r>
        <w:rPr>
          <w:color w:val="000000"/>
          <w:lang w:val="en-AU" w:eastAsia="en-US"/>
        </w:rPr>
        <w:t>FX desk executes.</w:t>
      </w:r>
    </w:p>
    <w:p>
      <w:pPr>
        <w:pStyle w:val="Normal"/>
        <w:numPr>
          <w:ilvl w:val="0"/>
          <w:numId w:val="2"/>
        </w:numPr>
        <w:spacing w:lineRule="atLeast" w:line="240"/>
        <w:jc w:val="both"/>
        <w:rPr>
          <w:color w:val="000000"/>
          <w:lang w:val="en-AU" w:eastAsia="en-US"/>
        </w:rPr>
      </w:pPr>
      <w:r>
        <w:rPr>
          <w:color w:val="000000"/>
          <w:lang w:val="en-AU" w:eastAsia="en-US"/>
        </w:rPr>
        <w:t>FX desk communicates to settlements the trade execution details.</w:t>
      </w:r>
    </w:p>
    <w:p>
      <w:pPr>
        <w:pStyle w:val="Normal"/>
        <w:numPr>
          <w:ilvl w:val="0"/>
          <w:numId w:val="2"/>
        </w:numPr>
        <w:spacing w:lineRule="atLeast" w:line="240"/>
        <w:jc w:val="both"/>
        <w:rPr>
          <w:color w:val="000000"/>
          <w:lang w:val="en-AU" w:eastAsia="en-US"/>
        </w:rPr>
      </w:pPr>
      <w:r>
        <w:rPr>
          <w:color w:val="000000"/>
          <w:lang w:val="en-AU" w:eastAsia="en-US"/>
        </w:rPr>
        <w:t>FX desk will maintain a daily deal sheet for settlements to utilise as a completeness check on trades executed.</w:t>
      </w:r>
    </w:p>
    <w:p>
      <w:pPr>
        <w:pStyle w:val="Normal"/>
        <w:numPr>
          <w:ilvl w:val="0"/>
          <w:numId w:val="2"/>
        </w:numPr>
        <w:spacing w:lineRule="atLeast" w:line="240"/>
        <w:jc w:val="both"/>
        <w:rPr>
          <w:rFonts w:ascii="Helv" w:hAnsi="Helv" w:cs="Helv"/>
          <w:color w:val="000000"/>
          <w:lang w:val="en-AU" w:eastAsia="en-US"/>
        </w:rPr>
      </w:pPr>
      <w:r>
        <w:rPr>
          <w:color w:val="000000"/>
          <w:lang w:val="en-AU" w:eastAsia="en-US"/>
        </w:rPr>
        <w:t>Settlements will maintain responsibility for trade entry into the AS400, confirmation and settlements of the trade.</w:t>
      </w:r>
    </w:p>
    <w:p>
      <w:pPr>
        <w:pStyle w:val="Normal"/>
        <w:spacing w:lineRule="atLeast" w:line="240"/>
        <w:rPr>
          <w:rFonts w:ascii="Helv" w:hAnsi="Helv" w:cs="Helv"/>
          <w:color w:val="000000"/>
          <w:lang w:val="en-AU" w:eastAsia="en-US"/>
        </w:rPr>
      </w:pPr>
      <w:r>
        <w:rPr>
          <w:rFonts w:cs="Helv" w:ascii="Helv" w:hAnsi="Helv"/>
          <w:color w:val="000000"/>
          <w:lang w:val="en-AU" w:eastAsia="en-US"/>
        </w:rPr>
      </w:r>
    </w:p>
    <w:p>
      <w:pPr>
        <w:pStyle w:val="Normal"/>
        <w:spacing w:lineRule="atLeast" w:line="240"/>
        <w:rPr>
          <w:rFonts w:ascii="Helv" w:hAnsi="Helv" w:cs="Helv"/>
          <w:color w:val="000000"/>
          <w:lang w:val="en-AU" w:eastAsia="en-US"/>
        </w:rPr>
      </w:pPr>
      <w:r>
        <w:rPr>
          <w:rFonts w:cs="Helv" w:ascii="Helv" w:hAnsi="Helv"/>
          <w:color w:val="000000"/>
          <w:lang w:val="en-AU" w:eastAsia="en-US"/>
        </w:rPr>
      </w:r>
    </w:p>
    <w:sectPr>
      <w:headerReference w:type="default" r:id="rId3"/>
      <w:headerReference w:type="first" r:id="rId4"/>
      <w:footerReference w:type="default" r:id="rId5"/>
      <w:footerReference w:type="first" r:id="rId6"/>
      <w:type w:val="nextPage"/>
      <w:pgSz w:w="11906" w:h="16838"/>
      <w:pgMar w:left="720" w:right="720" w:gutter="0" w:header="1440" w:top="149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90"/>
        </w:tabs>
        <w:ind w:start="390" w:hanging="390"/>
      </w:pPr>
      <w:rPr>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32"/>
      <w:lang w:val="en-G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000000"/>
    </w:rPr>
  </w:style>
  <w:style w:type="character" w:styleId="WW8Num2z0">
    <w:name w:val="WW8Num2z0"/>
    <w:qFormat/>
    <w:rPr/>
  </w:style>
  <w:style w:type="character" w:styleId="WW8Num3z0">
    <w:name w:val="WW8Num3z0"/>
    <w:qFormat/>
    <w:rPr>
      <w:rFonts w:ascii="Arial" w:hAnsi="Arial" w:cs="Arial"/>
    </w:rPr>
  </w:style>
  <w:style w:type="character" w:styleId="WW8Num4z0">
    <w:name w:val="WW8Num4z0"/>
    <w:qFormat/>
    <w:rPr>
      <w:rFonts w:ascii="Symbol" w:hAnsi="Symbol" w:cs="Symbol"/>
      <w:color w:val="000000"/>
    </w:rPr>
  </w:style>
  <w:style w:type="character" w:styleId="WW8Num5z0">
    <w:name w:val="WW8Num5z0"/>
    <w:qFormat/>
    <w:rPr>
      <w:rFonts w:ascii="Arial" w:hAnsi="Arial" w:cs="Aria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rFonts w:ascii="Helv" w:hAnsi="Helv" w:cs="Helv"/>
      <w:color w:val="000000"/>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2001-02-06T17:53:00Z</dcterms:created>
  <dc:creator>EDemetz</dc:creator>
  <dc:description/>
  <dc:language>en-CA</dc:language>
  <cp:lastModifiedBy>ACornfie</cp:lastModifiedBy>
  <cp:lastPrinted>1997-02-03T10:06:00Z</cp:lastPrinted>
  <dcterms:modified xsi:type="dcterms:W3CDTF">2001-02-06T18:22:00Z</dcterms:modified>
  <cp:revision>4</cp:revision>
  <dc:subject>Tractebel Meeting</dc:subject>
  <dc:title> </dc:title>
</cp:coreProperties>
</file>