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A SUMMARY OF CANADA’S CURRENCY ISSUES</w:t>
      </w:r>
    </w:p>
    <w:p>
      <w:pPr>
        <w:pStyle w:val="Normal"/>
        <w:rPr>
          <w:i/>
          <w:i/>
          <w:iCs/>
        </w:rPr>
      </w:pPr>
      <w:r>
        <w:rPr>
          <w:i/>
          <w:iCs/>
        </w:rPr>
        <w:t>(In order of priority)</w:t>
      </w:r>
    </w:p>
    <w:p>
      <w:pPr>
        <w:pStyle w:val="Normal"/>
        <w:rPr>
          <w:i/>
          <w:i/>
          <w:iCs/>
        </w:rPr>
      </w:pPr>
      <w:r>
        <w:rPr>
          <w:i/>
          <w:iCs/>
        </w:rPr>
      </w:r>
    </w:p>
    <w:p>
      <w:pPr>
        <w:pStyle w:val="Normal"/>
        <w:numPr>
          <w:ilvl w:val="0"/>
          <w:numId w:val="5"/>
        </w:numPr>
        <w:rPr>
          <w:b/>
          <w:bCs/>
        </w:rPr>
      </w:pPr>
      <w:r>
        <w:rPr>
          <w:b/>
          <w:bCs/>
        </w:rPr>
        <w:t>A currency hedge needs to be entered into for USD denominated trade payables and receivables to the date of payment.</w:t>
      </w:r>
    </w:p>
    <w:p>
      <w:pPr>
        <w:pStyle w:val="Normal"/>
        <w:numPr>
          <w:ilvl w:val="0"/>
          <w:numId w:val="6"/>
        </w:numPr>
        <w:rPr/>
      </w:pPr>
      <w:r>
        <w:rPr/>
        <w:t>Currently the trading desks are hedging their currency risk up to the point the USD deals liquidate from their books.</w:t>
      </w:r>
    </w:p>
    <w:p>
      <w:pPr>
        <w:pStyle w:val="Normal"/>
        <w:numPr>
          <w:ilvl w:val="0"/>
          <w:numId w:val="4"/>
        </w:numPr>
        <w:rPr/>
      </w:pPr>
      <w:r>
        <w:rPr/>
        <w:t>Based on information in the risk systems and SAP the fx hedge should be extended until date of payment.  As well as receivables and payables, any cash held in USD should also be hedged.</w:t>
      </w:r>
    </w:p>
    <w:p>
      <w:pPr>
        <w:pStyle w:val="Normal"/>
        <w:numPr>
          <w:ilvl w:val="0"/>
          <w:numId w:val="3"/>
        </w:numPr>
        <w:rPr/>
      </w:pPr>
      <w:r>
        <w:rPr/>
        <w:t>Issues to consider include:  P7 C$ deals which are paid to ENA in USD based on the month end fx rate, C$ tolls which are converted to USD at the 20</w:t>
      </w:r>
      <w:r>
        <w:rPr>
          <w:vertAlign w:val="superscript"/>
        </w:rPr>
        <w:t>th</w:t>
      </w:r>
      <w:r>
        <w:rPr/>
        <w:t xml:space="preserve"> rate and then billed to the customers, P&amp; book, who to do the fx swap with (Stuart or a Bank)..</w:t>
      </w:r>
    </w:p>
    <w:p>
      <w:pPr>
        <w:pStyle w:val="Normal"/>
        <w:rPr/>
      </w:pPr>
      <w:r>
        <w:rPr/>
      </w:r>
    </w:p>
    <w:p>
      <w:pPr>
        <w:pStyle w:val="Normal"/>
        <w:numPr>
          <w:ilvl w:val="0"/>
          <w:numId w:val="5"/>
        </w:numPr>
        <w:rPr>
          <w:b/>
          <w:bCs/>
        </w:rPr>
      </w:pPr>
      <w:r>
        <w:rPr>
          <w:b/>
          <w:bCs/>
        </w:rPr>
        <w:t>The risk books liquidate realized income using the monthend rate.  This is not in accordance with GAAP which dictates that the month’s average rate be used.  As a result there is a difference in realized income between the DPR and and the financial statements every month.</w:t>
      </w:r>
    </w:p>
    <w:p>
      <w:pPr>
        <w:pStyle w:val="Normal"/>
        <w:numPr>
          <w:ilvl w:val="1"/>
          <w:numId w:val="5"/>
        </w:numPr>
        <w:rPr/>
      </w:pPr>
      <w:r>
        <w:rPr/>
        <w:t>IT has indicated that they would be able to change the fx rate used to the month’s average – both portcalc and CPR reports need to be changed simultaneously.</w:t>
      </w:r>
    </w:p>
    <w:p>
      <w:pPr>
        <w:pStyle w:val="Normal"/>
        <w:numPr>
          <w:ilvl w:val="1"/>
          <w:numId w:val="5"/>
        </w:numPr>
        <w:rPr/>
      </w:pPr>
      <w:r>
        <w:rPr/>
        <w:t>It is not clear though that this would be the desired course of action.  The trading desk would have to change their trading methodology and hedge to the average of the current month verses the end of the current month.  These fx hedges would more expensive to enter into, to manage and to administer. As well, this would make the treasury hedging function more difficult (item 1)</w:t>
      </w:r>
    </w:p>
    <w:p>
      <w:pPr>
        <w:pStyle w:val="Normal"/>
        <w:numPr>
          <w:ilvl w:val="1"/>
          <w:numId w:val="5"/>
        </w:numPr>
        <w:rPr/>
      </w:pPr>
      <w:r>
        <w:rPr/>
        <w:t>The realized gas income in the DPR is actually the sum of both realized income (as calculated in accordance with GAAP) and the fx gain(loss) on USD denominated gas deals to month end. ( The fx gain(loss) as a result of the trader entering into the fx hedge may still be unrealized because it is not necessary for the trader to match exact months for fx hedging.)</w:t>
      </w:r>
    </w:p>
    <w:p>
      <w:pPr>
        <w:pStyle w:val="Normal"/>
        <w:numPr>
          <w:ilvl w:val="1"/>
          <w:numId w:val="5"/>
        </w:numPr>
        <w:rPr/>
      </w:pPr>
      <w:r>
        <w:rPr/>
        <w:t>An alternative solution to the risk books changing the fx liquidation rate used and the traders changing their trading methodology would be to book reclassifying entries into SAP and/or the DPR and to implement disciplined reconciliations to the DPR regarding fx.</w:t>
      </w:r>
      <w:r>
        <w:br w:type="page"/>
      </w:r>
    </w:p>
    <w:p>
      <w:pPr>
        <w:pStyle w:val="Normal"/>
        <w:ind w:start="360" w:end="0"/>
        <w:rPr/>
      </w:pPr>
      <w:r>
        <w:rPr/>
      </w:r>
    </w:p>
    <w:p>
      <w:pPr>
        <w:pStyle w:val="Normal"/>
        <w:numPr>
          <w:ilvl w:val="0"/>
          <w:numId w:val="5"/>
        </w:numPr>
        <w:rPr>
          <w:b/>
          <w:bCs/>
        </w:rPr>
      </w:pPr>
      <w:r>
        <w:rPr>
          <w:b/>
          <w:bCs/>
        </w:rPr>
        <w:t>Enron Canada Corp’s functional currency is the C$.  There is precedent for being able to split one legal entity into two or more functional currencies (has been adopted by our London office).  This option needs to be fully reviewed, including implementation costs.</w:t>
      </w:r>
    </w:p>
    <w:p>
      <w:pPr>
        <w:pStyle w:val="Normal"/>
        <w:numPr>
          <w:ilvl w:val="0"/>
          <w:numId w:val="7"/>
        </w:numPr>
        <w:rPr/>
      </w:pPr>
      <w:r>
        <w:rPr/>
        <w:t>There would be support, as guided by FASB 52, to change the functional currency of the gas trading operations from C$ to US$.  Many of the existing issues would still remain though – rather than hedging our US$ risk, we would need to hedge our C$ risk.  To break the gas trading operations into two functional currencies would be difficult considering that one deal – a C$ settled deal creates both US$ and C$ risk because the index is driven by the US markets, and the deal is eventually settled in C$.</w:t>
      </w:r>
    </w:p>
    <w:p>
      <w:pPr>
        <w:pStyle w:val="Normal"/>
        <w:ind w:start="360" w:end="0"/>
        <w:jc w:val="both"/>
        <w:rPr/>
      </w:pPr>
      <w:r>
        <w:rPr/>
      </w:r>
    </w:p>
    <w:p>
      <w:pPr>
        <w:pStyle w:val="Normal"/>
        <w:numPr>
          <w:ilvl w:val="0"/>
          <w:numId w:val="5"/>
        </w:numPr>
        <w:rPr>
          <w:b/>
          <w:bCs/>
        </w:rPr>
      </w:pPr>
      <w:r>
        <w:rPr>
          <w:b/>
          <w:bCs/>
        </w:rPr>
        <w:t>The fx gain/loss as generated by SAP is somewhat of a black box.</w:t>
      </w:r>
    </w:p>
    <w:p>
      <w:pPr>
        <w:pStyle w:val="Normal"/>
        <w:numPr>
          <w:ilvl w:val="0"/>
          <w:numId w:val="2"/>
        </w:numPr>
        <w:rPr/>
      </w:pPr>
      <w:r>
        <w:rPr/>
        <w:t>This p&amp;l account should be reconciled monthly so that the contributing factors are fully understood.</w:t>
      </w:r>
    </w:p>
    <w:p>
      <w:pPr>
        <w:pStyle w:val="Normal"/>
        <w:ind w:start="360" w:end="0"/>
        <w:jc w:val="both"/>
        <w:rPr/>
      </w:pPr>
      <w:r>
        <w:rPr/>
      </w:r>
    </w:p>
    <w:p>
      <w:pPr>
        <w:pStyle w:val="Normal"/>
        <w:numPr>
          <w:ilvl w:val="0"/>
          <w:numId w:val="5"/>
        </w:numPr>
        <w:rPr>
          <w:b/>
          <w:bCs/>
        </w:rPr>
      </w:pPr>
      <w:r>
        <w:rPr>
          <w:b/>
          <w:bCs/>
        </w:rPr>
        <w:t xml:space="preserve">The currency risks of the Canada office are not reflected in any of the management position reports.  In addition VAR is not be calculated on this risk. </w:t>
      </w:r>
    </w:p>
    <w:p>
      <w:pPr>
        <w:pStyle w:val="Normal"/>
        <w:numPr>
          <w:ilvl w:val="0"/>
          <w:numId w:val="8"/>
        </w:numPr>
        <w:rPr>
          <w:b/>
          <w:bCs/>
        </w:rPr>
      </w:pPr>
      <w:r>
        <w:rPr/>
        <w:t>A robust way of reporting fx positions and loading them into risktrak needs to be developed.</w:t>
      </w:r>
    </w:p>
    <w:p>
      <w:pPr>
        <w:pStyle w:val="Normal"/>
        <w:ind w:start="360" w:end="0"/>
        <w:jc w:val="both"/>
        <w:rPr>
          <w:b/>
          <w:bCs/>
        </w:rPr>
      </w:pPr>
      <w:r>
        <w:rPr>
          <w:b/>
          <w:bCs/>
        </w:rPr>
      </w:r>
    </w:p>
    <w:p>
      <w:pPr>
        <w:pStyle w:val="Normal"/>
        <w:numPr>
          <w:ilvl w:val="0"/>
          <w:numId w:val="5"/>
        </w:numPr>
        <w:rPr>
          <w:b/>
          <w:bCs/>
        </w:rPr>
      </w:pPr>
      <w:r>
        <w:rPr>
          <w:b/>
          <w:bCs/>
        </w:rPr>
        <w:t>The currency reports as generated by the risk systems for the options and intramonths books are sub-standard.</w:t>
      </w:r>
    </w:p>
    <w:p>
      <w:pPr>
        <w:pStyle w:val="Normal"/>
        <w:numPr>
          <w:ilvl w:val="0"/>
          <w:numId w:val="7"/>
        </w:numPr>
        <w:rPr/>
      </w:pPr>
      <w:r>
        <w:rPr/>
        <w:t>The position reports do not detail out the currency position, nor do the P&amp;L summaries break out currency curveshift separately.</w:t>
      </w:r>
    </w:p>
    <w:p>
      <w:pPr>
        <w:pStyle w:val="Normal"/>
        <w:numPr>
          <w:ilvl w:val="0"/>
          <w:numId w:val="7"/>
        </w:numPr>
        <w:rPr/>
      </w:pPr>
      <w:r>
        <w:rPr/>
        <w:t>Houston IT needs to be worked with to develop these reports.</w:t>
      </w:r>
    </w:p>
    <w:p>
      <w:pPr>
        <w:pStyle w:val="Normal"/>
        <w:ind w:start="360" w:end="0"/>
        <w:rPr/>
      </w:pPr>
      <w:r>
        <w:rPr/>
      </w:r>
    </w:p>
    <w:p>
      <w:pPr>
        <w:pStyle w:val="Normal"/>
        <w:numPr>
          <w:ilvl w:val="0"/>
          <w:numId w:val="5"/>
        </w:numPr>
        <w:rPr>
          <w:b/>
          <w:bCs/>
        </w:rPr>
      </w:pPr>
      <w:r>
        <w:rPr>
          <w:b/>
          <w:bCs/>
        </w:rPr>
        <w:t>The currency risks of the power book need to be addressed.</w:t>
      </w:r>
    </w:p>
    <w:p>
      <w:pPr>
        <w:pStyle w:val="Normal"/>
        <w:numPr>
          <w:ilvl w:val="0"/>
          <w:numId w:val="2"/>
        </w:numPr>
        <w:rPr/>
      </w:pPr>
      <w:r>
        <w:rPr/>
        <w:t>The power trader has entered into a significant number of gas trades which are denominated in USD.   The currency risks of this needs to be addressed, including the transaction costs of getting in and out of any fx hedges entered into.</w:t>
      </w:r>
    </w:p>
    <w:p>
      <w:pPr>
        <w:pStyle w:val="Normal"/>
        <w:ind w:start="720" w:end="0"/>
        <w:rPr/>
      </w:pPr>
      <w:r>
        <w:rPr/>
      </w:r>
    </w:p>
    <w:p>
      <w:pPr>
        <w:pStyle w:val="Normal"/>
        <w:ind w:start="360" w:end="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2001-06-17T15:04:00Z</dcterms:created>
  <dc:creator>kreeve1</dc:creator>
  <dc:description/>
  <dc:language>en-CA</dc:language>
  <cp:lastModifiedBy>kreeve1</cp:lastModifiedBy>
  <cp:lastPrinted>2001-06-19T05:29:00Z</cp:lastPrinted>
  <dcterms:modified xsi:type="dcterms:W3CDTF">2001-06-19T08:59:00Z</dcterms:modified>
  <cp:revision>11</cp:revision>
  <dc:subject/>
  <dc:title>CANADA’S FX ISSUES</dc:title>
</cp:coreProperties>
</file>